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2"/>
        <w:gridCol w:w="8846"/>
      </w:tblGrid>
      <w:tr w:rsidR="00A95F3E" w:rsidRPr="00A27113" w14:paraId="5FE889EC" w14:textId="77777777" w:rsidTr="00E553B5">
        <w:trPr>
          <w:cantSplit/>
          <w:trHeight w:val="1780"/>
        </w:trPr>
        <w:tc>
          <w:tcPr>
            <w:tcW w:w="10432" w:type="dxa"/>
            <w:gridSpan w:val="2"/>
          </w:tcPr>
          <w:p w14:paraId="44969540" w14:textId="77777777" w:rsidR="00A95F3E" w:rsidRPr="00A27113" w:rsidRDefault="00A95F3E" w:rsidP="006F1E53">
            <w:pPr>
              <w:pStyle w:val="STitreDocument"/>
              <w:jc w:val="both"/>
            </w:pPr>
            <w:r w:rsidRPr="00A27113">
              <w:t xml:space="preserve">ANNEXE 3 Dispositions générales relatives à l’accès et à l’utilisation du RPD pour les Sites en Contrat Unique alimentés en BT et de Puissance Souscrite </w:t>
            </w:r>
            <w:r w:rsidRPr="00A27113">
              <w:rPr>
                <w:rFonts w:cstheme="minorHAnsi"/>
              </w:rPr>
              <w:t>≤</w:t>
            </w:r>
            <w:r w:rsidRPr="00A27113">
              <w:t xml:space="preserve"> 36 kVA</w:t>
            </w:r>
          </w:p>
        </w:tc>
      </w:tr>
      <w:tr w:rsidR="00A95F3E" w:rsidRPr="00A27113" w14:paraId="7D50E7F2" w14:textId="77777777" w:rsidTr="00E553B5">
        <w:trPr>
          <w:cantSplit/>
          <w:trHeight w:hRule="exact" w:val="403"/>
        </w:trPr>
        <w:tc>
          <w:tcPr>
            <w:tcW w:w="1475" w:type="dxa"/>
            <w:vAlign w:val="center"/>
          </w:tcPr>
          <w:p w14:paraId="76FFFC1F" w14:textId="77777777" w:rsidR="00A95F3E" w:rsidRPr="00A27113" w:rsidRDefault="00A95F3E" w:rsidP="00F84F73">
            <w:pPr>
              <w:spacing w:before="0" w:after="0"/>
              <w:rPr>
                <w:b/>
                <w:color w:val="005EB8" w:themeColor="background2"/>
              </w:rPr>
            </w:pPr>
            <w:r w:rsidRPr="00A27113">
              <w:rPr>
                <w:b/>
                <w:color w:val="005EB8" w:themeColor="background2"/>
              </w:rPr>
              <w:t>Identification :</w:t>
            </w:r>
          </w:p>
        </w:tc>
        <w:tc>
          <w:tcPr>
            <w:tcW w:w="8957" w:type="dxa"/>
            <w:vAlign w:val="center"/>
          </w:tcPr>
          <w:p w14:paraId="557825D9" w14:textId="77777777" w:rsidR="00A95F3E" w:rsidRPr="00A27113" w:rsidRDefault="00A95F3E" w:rsidP="008F59BE">
            <w:pPr>
              <w:pStyle w:val="SIdentification"/>
              <w:spacing w:before="0" w:after="0"/>
            </w:pPr>
            <w:r w:rsidRPr="00A27113">
              <w:t>Annexe 3 du contrat GRD-F</w:t>
            </w:r>
            <w:r>
              <w:t xml:space="preserve"> - </w:t>
            </w:r>
            <w:r w:rsidRPr="004D2399">
              <w:rPr>
                <w:noProof/>
              </w:rPr>
              <w:t>Régie d'Electricité d'Elbeuf</w:t>
            </w:r>
          </w:p>
        </w:tc>
      </w:tr>
      <w:tr w:rsidR="00A95F3E" w:rsidRPr="00A27113" w14:paraId="525EEB65" w14:textId="77777777" w:rsidTr="00E553B5">
        <w:trPr>
          <w:cantSplit/>
          <w:trHeight w:hRule="exact" w:val="393"/>
        </w:trPr>
        <w:tc>
          <w:tcPr>
            <w:tcW w:w="1475" w:type="dxa"/>
            <w:vAlign w:val="center"/>
          </w:tcPr>
          <w:p w14:paraId="23DF2142" w14:textId="77777777" w:rsidR="00A95F3E" w:rsidRPr="00A27113" w:rsidRDefault="00A95F3E" w:rsidP="00F84F73">
            <w:pPr>
              <w:spacing w:before="0" w:after="0"/>
              <w:rPr>
                <w:b/>
                <w:color w:val="005EB8" w:themeColor="background2"/>
              </w:rPr>
            </w:pPr>
            <w:r w:rsidRPr="00A27113">
              <w:rPr>
                <w:b/>
                <w:color w:val="005EB8" w:themeColor="background2"/>
              </w:rPr>
              <w:t>Version :</w:t>
            </w:r>
          </w:p>
        </w:tc>
        <w:tc>
          <w:tcPr>
            <w:tcW w:w="8957" w:type="dxa"/>
            <w:vAlign w:val="center"/>
          </w:tcPr>
          <w:p w14:paraId="420B9BA5" w14:textId="77777777" w:rsidR="00A95F3E" w:rsidRPr="00A27113" w:rsidRDefault="00A95F3E" w:rsidP="007F45F4">
            <w:pPr>
              <w:pStyle w:val="SVersion"/>
              <w:spacing w:before="0" w:after="0"/>
            </w:pPr>
            <w:r w:rsidRPr="00A27113">
              <w:t>9.0</w:t>
            </w:r>
          </w:p>
        </w:tc>
      </w:tr>
      <w:tr w:rsidR="00A95F3E" w:rsidRPr="00A27113" w14:paraId="5953F0D3" w14:textId="77777777" w:rsidTr="00E553B5">
        <w:trPr>
          <w:cantSplit/>
          <w:trHeight w:hRule="exact" w:val="302"/>
        </w:trPr>
        <w:tc>
          <w:tcPr>
            <w:tcW w:w="1475" w:type="dxa"/>
            <w:vAlign w:val="center"/>
          </w:tcPr>
          <w:p w14:paraId="1E797575" w14:textId="77777777" w:rsidR="00A95F3E" w:rsidRPr="00A27113" w:rsidRDefault="00A95F3E" w:rsidP="00F84F73">
            <w:pPr>
              <w:spacing w:before="0" w:after="0"/>
              <w:rPr>
                <w:b/>
                <w:color w:val="005EB8" w:themeColor="background2"/>
              </w:rPr>
            </w:pPr>
            <w:r w:rsidRPr="00A27113">
              <w:rPr>
                <w:b/>
                <w:color w:val="005EB8" w:themeColor="background2"/>
              </w:rPr>
              <w:t>Nb. de pages :</w:t>
            </w:r>
          </w:p>
        </w:tc>
        <w:tc>
          <w:tcPr>
            <w:tcW w:w="8957" w:type="dxa"/>
            <w:vAlign w:val="center"/>
          </w:tcPr>
          <w:p w14:paraId="349BD555" w14:textId="77777777" w:rsidR="00A95F3E" w:rsidRPr="00A27113" w:rsidRDefault="00A95F3E" w:rsidP="003101B2">
            <w:pPr>
              <w:spacing w:before="0" w:after="0"/>
              <w:rPr>
                <w:b/>
                <w:color w:val="005EB8" w:themeColor="background2"/>
              </w:rPr>
            </w:pPr>
            <w:r w:rsidRPr="00A27113">
              <w:rPr>
                <w:b/>
                <w:color w:val="005EB8" w:themeColor="background2"/>
              </w:rPr>
              <w:t>3</w:t>
            </w:r>
            <w:r>
              <w:rPr>
                <w:b/>
                <w:color w:val="005EB8" w:themeColor="background2"/>
              </w:rPr>
              <w:t>7</w:t>
            </w:r>
          </w:p>
        </w:tc>
      </w:tr>
    </w:tbl>
    <w:p w14:paraId="044AAB6B" w14:textId="77777777" w:rsidR="00A95F3E" w:rsidRPr="00A27113" w:rsidRDefault="00A95F3E" w:rsidP="009C3752"/>
    <w:p w14:paraId="3F9ED667" w14:textId="77777777" w:rsidR="00A95F3E" w:rsidRDefault="00A95F3E" w:rsidP="0061143A">
      <w:pPr>
        <w:jc w:val="center"/>
        <w:rPr>
          <w:b/>
        </w:rPr>
      </w:pPr>
      <w:r>
        <w:rPr>
          <w:noProof/>
        </w:rPr>
        <w:drawing>
          <wp:inline distT="0" distB="0" distL="0" distR="0" wp14:anchorId="0F6ED054" wp14:editId="293ADECA">
            <wp:extent cx="3634740" cy="3634740"/>
            <wp:effectExtent l="0" t="0" r="381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34740" cy="3634740"/>
                    </a:xfrm>
                    <a:prstGeom prst="rect">
                      <a:avLst/>
                    </a:prstGeom>
                  </pic:spPr>
                </pic:pic>
              </a:graphicData>
            </a:graphic>
          </wp:inline>
        </w:drawing>
      </w:r>
    </w:p>
    <w:p w14:paraId="4B93FF8A" w14:textId="77777777" w:rsidR="00A95F3E" w:rsidRPr="00A27113" w:rsidRDefault="00A95F3E" w:rsidP="009C3752">
      <w:pPr>
        <w:rPr>
          <w:b/>
        </w:rPr>
      </w:pPr>
    </w:p>
    <w:p w14:paraId="07BF2DF9" w14:textId="77777777" w:rsidR="00A95F3E" w:rsidRPr="00A27113" w:rsidRDefault="00A95F3E" w:rsidP="009C3752">
      <w:pPr>
        <w:rPr>
          <w:b/>
        </w:rPr>
      </w:pPr>
      <w:r w:rsidRPr="00A27113">
        <w:rPr>
          <w:b/>
        </w:rPr>
        <w:t>Résumé / Avertissement</w:t>
      </w:r>
    </w:p>
    <w:p w14:paraId="4C535EF5" w14:textId="77777777" w:rsidR="00A95F3E" w:rsidRPr="00A27113" w:rsidRDefault="00A95F3E" w:rsidP="008F59BE">
      <w:r w:rsidRPr="00A27113">
        <w:t>Cette annexe définit les dispositions générales relatives à l’accès et à l’utilisation du Réseau Public de Distribution pour les Points de Livraison en Contrat Unique alimentés en BT et pour lesquels la puissance souscrite au titre de l’utilisation des réseaux est inférieure ou égale à 36 kVA.</w:t>
      </w:r>
    </w:p>
    <w:p w14:paraId="2B1E0DDC" w14:textId="77777777" w:rsidR="00A95F3E" w:rsidRPr="00A27113" w:rsidRDefault="00A95F3E" w:rsidP="009C3752"/>
    <w:p w14:paraId="3B06709D" w14:textId="77777777" w:rsidR="00A95F3E" w:rsidRPr="00A27113" w:rsidRDefault="00A95F3E" w:rsidP="009C3752">
      <w:pPr>
        <w:sectPr w:rsidR="00A95F3E" w:rsidRPr="00A27113" w:rsidSect="00A95F3E">
          <w:headerReference w:type="default" r:id="rId9"/>
          <w:footerReference w:type="default" r:id="rId10"/>
          <w:headerReference w:type="first" r:id="rId11"/>
          <w:footerReference w:type="first" r:id="rId12"/>
          <w:pgSz w:w="11906" w:h="16838" w:code="9"/>
          <w:pgMar w:top="1701" w:right="794" w:bottom="1701" w:left="794" w:header="567" w:footer="626" w:gutter="0"/>
          <w:pgNumType w:start="1"/>
          <w:cols w:space="708"/>
          <w:titlePg/>
          <w:docGrid w:linePitch="360"/>
        </w:sectPr>
      </w:pPr>
    </w:p>
    <w:sdt>
      <w:sdtPr>
        <w:rPr>
          <w:rFonts w:asciiTheme="minorHAnsi" w:eastAsia="Times New Roman" w:hAnsiTheme="minorHAnsi" w:cs="Times New Roman"/>
          <w:color w:val="575757" w:themeColor="text1"/>
          <w:sz w:val="20"/>
          <w:szCs w:val="20"/>
        </w:rPr>
        <w:id w:val="887767586"/>
        <w:docPartObj>
          <w:docPartGallery w:val="Table of Contents"/>
          <w:docPartUnique/>
        </w:docPartObj>
      </w:sdtPr>
      <w:sdtEndPr>
        <w:rPr>
          <w:b/>
          <w:bCs/>
        </w:rPr>
      </w:sdtEndPr>
      <w:sdtContent>
        <w:p w14:paraId="62A14084" w14:textId="4882B256" w:rsidR="0058143B" w:rsidRDefault="0058143B">
          <w:pPr>
            <w:pStyle w:val="En-ttedetabledesmatires"/>
          </w:pPr>
          <w:r>
            <w:t>Sommaire</w:t>
          </w:r>
        </w:p>
        <w:p w14:paraId="2C781072" w14:textId="02E6D22D" w:rsidR="0058143B" w:rsidRDefault="0058143B">
          <w:pPr>
            <w:pStyle w:val="TM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77686009" w:history="1">
            <w:r w:rsidRPr="0002769E">
              <w:rPr>
                <w:rStyle w:val="Lienhypertexte"/>
                <w:noProof/>
              </w:rPr>
              <w:t>Préambule</w:t>
            </w:r>
            <w:r>
              <w:rPr>
                <w:noProof/>
                <w:webHidden/>
              </w:rPr>
              <w:tab/>
            </w:r>
            <w:r>
              <w:rPr>
                <w:noProof/>
                <w:webHidden/>
              </w:rPr>
              <w:fldChar w:fldCharType="begin"/>
            </w:r>
            <w:r>
              <w:rPr>
                <w:noProof/>
                <w:webHidden/>
              </w:rPr>
              <w:instrText xml:space="preserve"> PAGEREF _Toc77686009 \h </w:instrText>
            </w:r>
            <w:r>
              <w:rPr>
                <w:noProof/>
                <w:webHidden/>
              </w:rPr>
            </w:r>
            <w:r>
              <w:rPr>
                <w:noProof/>
                <w:webHidden/>
              </w:rPr>
              <w:fldChar w:fldCharType="separate"/>
            </w:r>
            <w:r>
              <w:rPr>
                <w:noProof/>
                <w:webHidden/>
              </w:rPr>
              <w:t>3</w:t>
            </w:r>
            <w:r>
              <w:rPr>
                <w:noProof/>
                <w:webHidden/>
              </w:rPr>
              <w:fldChar w:fldCharType="end"/>
            </w:r>
          </w:hyperlink>
        </w:p>
        <w:p w14:paraId="151BB7C3" w14:textId="549ED7FC" w:rsidR="0058143B" w:rsidRDefault="001143B4">
          <w:pPr>
            <w:pStyle w:val="TM1"/>
            <w:rPr>
              <w:rFonts w:eastAsiaTheme="minorEastAsia" w:cstheme="minorBidi"/>
              <w:b w:val="0"/>
              <w:noProof/>
              <w:color w:val="auto"/>
              <w:sz w:val="22"/>
              <w:szCs w:val="22"/>
            </w:rPr>
          </w:pPr>
          <w:hyperlink w:anchor="_Toc77686010" w:history="1">
            <w:r w:rsidR="0058143B" w:rsidRPr="0002769E">
              <w:rPr>
                <w:rStyle w:val="Lienhypertexte"/>
                <w:bCs/>
                <w:noProof/>
              </w:rPr>
              <w:t>1.</w:t>
            </w:r>
            <w:r w:rsidR="0058143B">
              <w:rPr>
                <w:rFonts w:eastAsiaTheme="minorEastAsia" w:cstheme="minorBidi"/>
                <w:b w:val="0"/>
                <w:noProof/>
                <w:color w:val="auto"/>
                <w:sz w:val="22"/>
                <w:szCs w:val="22"/>
              </w:rPr>
              <w:tab/>
            </w:r>
            <w:r w:rsidR="0058143B" w:rsidRPr="0002769E">
              <w:rPr>
                <w:rStyle w:val="Lienhypertexte"/>
                <w:noProof/>
              </w:rPr>
              <w:t>Cadre général de l’accès au Réseau Public de Distribution</w:t>
            </w:r>
            <w:r w:rsidR="0058143B">
              <w:rPr>
                <w:noProof/>
                <w:webHidden/>
              </w:rPr>
              <w:tab/>
            </w:r>
            <w:r w:rsidR="0058143B">
              <w:rPr>
                <w:noProof/>
                <w:webHidden/>
              </w:rPr>
              <w:fldChar w:fldCharType="begin"/>
            </w:r>
            <w:r w:rsidR="0058143B">
              <w:rPr>
                <w:noProof/>
                <w:webHidden/>
              </w:rPr>
              <w:instrText xml:space="preserve"> PAGEREF _Toc77686010 \h </w:instrText>
            </w:r>
            <w:r w:rsidR="0058143B">
              <w:rPr>
                <w:noProof/>
                <w:webHidden/>
              </w:rPr>
            </w:r>
            <w:r w:rsidR="0058143B">
              <w:rPr>
                <w:noProof/>
                <w:webHidden/>
              </w:rPr>
              <w:fldChar w:fldCharType="separate"/>
            </w:r>
            <w:r w:rsidR="0058143B">
              <w:rPr>
                <w:noProof/>
                <w:webHidden/>
              </w:rPr>
              <w:t>4</w:t>
            </w:r>
            <w:r w:rsidR="0058143B">
              <w:rPr>
                <w:noProof/>
                <w:webHidden/>
              </w:rPr>
              <w:fldChar w:fldCharType="end"/>
            </w:r>
          </w:hyperlink>
        </w:p>
        <w:p w14:paraId="63657F37" w14:textId="0E048FD1" w:rsidR="0058143B" w:rsidRDefault="001143B4">
          <w:pPr>
            <w:pStyle w:val="TM2"/>
            <w:rPr>
              <w:rFonts w:eastAsiaTheme="minorEastAsia" w:cstheme="minorBidi"/>
              <w:noProof/>
              <w:color w:val="auto"/>
              <w:szCs w:val="22"/>
            </w:rPr>
          </w:pPr>
          <w:hyperlink w:anchor="_Toc77686011" w:history="1">
            <w:r w:rsidR="0058143B" w:rsidRPr="0002769E">
              <w:rPr>
                <w:rStyle w:val="Lienhypertexte"/>
                <w:noProof/>
              </w:rPr>
              <w:t>1.1.</w:t>
            </w:r>
            <w:r w:rsidR="0058143B">
              <w:rPr>
                <w:rFonts w:eastAsiaTheme="minorEastAsia" w:cstheme="minorBidi"/>
                <w:noProof/>
                <w:color w:val="auto"/>
                <w:szCs w:val="22"/>
              </w:rPr>
              <w:tab/>
            </w:r>
            <w:r w:rsidR="0058143B" w:rsidRPr="0002769E">
              <w:rPr>
                <w:rStyle w:val="Lienhypertexte"/>
                <w:noProof/>
              </w:rPr>
              <w:t>Principes</w:t>
            </w:r>
            <w:r w:rsidR="0058143B">
              <w:rPr>
                <w:noProof/>
                <w:webHidden/>
              </w:rPr>
              <w:tab/>
            </w:r>
            <w:r w:rsidR="0058143B">
              <w:rPr>
                <w:noProof/>
                <w:webHidden/>
              </w:rPr>
              <w:fldChar w:fldCharType="begin"/>
            </w:r>
            <w:r w:rsidR="0058143B">
              <w:rPr>
                <w:noProof/>
                <w:webHidden/>
              </w:rPr>
              <w:instrText xml:space="preserve"> PAGEREF _Toc77686011 \h </w:instrText>
            </w:r>
            <w:r w:rsidR="0058143B">
              <w:rPr>
                <w:noProof/>
                <w:webHidden/>
              </w:rPr>
            </w:r>
            <w:r w:rsidR="0058143B">
              <w:rPr>
                <w:noProof/>
                <w:webHidden/>
              </w:rPr>
              <w:fldChar w:fldCharType="separate"/>
            </w:r>
            <w:r w:rsidR="0058143B">
              <w:rPr>
                <w:noProof/>
                <w:webHidden/>
              </w:rPr>
              <w:t>4</w:t>
            </w:r>
            <w:r w:rsidR="0058143B">
              <w:rPr>
                <w:noProof/>
                <w:webHidden/>
              </w:rPr>
              <w:fldChar w:fldCharType="end"/>
            </w:r>
          </w:hyperlink>
        </w:p>
        <w:p w14:paraId="47CE56D8" w14:textId="3EF29FFB" w:rsidR="0058143B" w:rsidRDefault="001143B4">
          <w:pPr>
            <w:pStyle w:val="TM2"/>
            <w:rPr>
              <w:rFonts w:eastAsiaTheme="minorEastAsia" w:cstheme="minorBidi"/>
              <w:noProof/>
              <w:color w:val="auto"/>
              <w:szCs w:val="22"/>
            </w:rPr>
          </w:pPr>
          <w:hyperlink w:anchor="_Toc77686012" w:history="1">
            <w:r w:rsidR="0058143B" w:rsidRPr="0002769E">
              <w:rPr>
                <w:rStyle w:val="Lienhypertexte"/>
                <w:noProof/>
              </w:rPr>
              <w:t>1.2.</w:t>
            </w:r>
            <w:r w:rsidR="0058143B">
              <w:rPr>
                <w:rFonts w:eastAsiaTheme="minorEastAsia" w:cstheme="minorBidi"/>
                <w:noProof/>
                <w:color w:val="auto"/>
                <w:szCs w:val="22"/>
              </w:rPr>
              <w:tab/>
            </w:r>
            <w:r w:rsidR="0058143B" w:rsidRPr="0002769E">
              <w:rPr>
                <w:rStyle w:val="Lienhypertexte"/>
                <w:noProof/>
              </w:rPr>
              <w:t>Le GRD et l’accès au Réseau Public de Distribution</w:t>
            </w:r>
            <w:r w:rsidR="0058143B">
              <w:rPr>
                <w:noProof/>
                <w:webHidden/>
              </w:rPr>
              <w:tab/>
            </w:r>
            <w:r w:rsidR="0058143B">
              <w:rPr>
                <w:noProof/>
                <w:webHidden/>
              </w:rPr>
              <w:fldChar w:fldCharType="begin"/>
            </w:r>
            <w:r w:rsidR="0058143B">
              <w:rPr>
                <w:noProof/>
                <w:webHidden/>
              </w:rPr>
              <w:instrText xml:space="preserve"> PAGEREF _Toc77686012 \h </w:instrText>
            </w:r>
            <w:r w:rsidR="0058143B">
              <w:rPr>
                <w:noProof/>
                <w:webHidden/>
              </w:rPr>
            </w:r>
            <w:r w:rsidR="0058143B">
              <w:rPr>
                <w:noProof/>
                <w:webHidden/>
              </w:rPr>
              <w:fldChar w:fldCharType="separate"/>
            </w:r>
            <w:r w:rsidR="0058143B">
              <w:rPr>
                <w:noProof/>
                <w:webHidden/>
              </w:rPr>
              <w:t>4</w:t>
            </w:r>
            <w:r w:rsidR="0058143B">
              <w:rPr>
                <w:noProof/>
                <w:webHidden/>
              </w:rPr>
              <w:fldChar w:fldCharType="end"/>
            </w:r>
          </w:hyperlink>
        </w:p>
        <w:p w14:paraId="51E66B98" w14:textId="3BE7A1A6" w:rsidR="0058143B" w:rsidRDefault="001143B4">
          <w:pPr>
            <w:pStyle w:val="TM2"/>
            <w:rPr>
              <w:rFonts w:eastAsiaTheme="minorEastAsia" w:cstheme="minorBidi"/>
              <w:noProof/>
              <w:color w:val="auto"/>
              <w:szCs w:val="22"/>
            </w:rPr>
          </w:pPr>
          <w:hyperlink w:anchor="_Toc77686013" w:history="1">
            <w:r w:rsidR="0058143B" w:rsidRPr="0002769E">
              <w:rPr>
                <w:rStyle w:val="Lienhypertexte"/>
                <w:noProof/>
              </w:rPr>
              <w:t>1.3.</w:t>
            </w:r>
            <w:r w:rsidR="0058143B">
              <w:rPr>
                <w:rFonts w:eastAsiaTheme="minorEastAsia" w:cstheme="minorBidi"/>
                <w:noProof/>
                <w:color w:val="auto"/>
                <w:szCs w:val="22"/>
              </w:rPr>
              <w:tab/>
            </w:r>
            <w:r w:rsidR="0058143B" w:rsidRPr="0002769E">
              <w:rPr>
                <w:rStyle w:val="Lienhypertexte"/>
                <w:noProof/>
              </w:rPr>
              <w:t>Le Fournisseur et l’accès du Client au Réseau Public de Distribution</w:t>
            </w:r>
            <w:r w:rsidR="0058143B">
              <w:rPr>
                <w:noProof/>
                <w:webHidden/>
              </w:rPr>
              <w:tab/>
            </w:r>
            <w:r w:rsidR="0058143B">
              <w:rPr>
                <w:noProof/>
                <w:webHidden/>
              </w:rPr>
              <w:fldChar w:fldCharType="begin"/>
            </w:r>
            <w:r w:rsidR="0058143B">
              <w:rPr>
                <w:noProof/>
                <w:webHidden/>
              </w:rPr>
              <w:instrText xml:space="preserve"> PAGEREF _Toc77686013 \h </w:instrText>
            </w:r>
            <w:r w:rsidR="0058143B">
              <w:rPr>
                <w:noProof/>
                <w:webHidden/>
              </w:rPr>
            </w:r>
            <w:r w:rsidR="0058143B">
              <w:rPr>
                <w:noProof/>
                <w:webHidden/>
              </w:rPr>
              <w:fldChar w:fldCharType="separate"/>
            </w:r>
            <w:r w:rsidR="0058143B">
              <w:rPr>
                <w:noProof/>
                <w:webHidden/>
              </w:rPr>
              <w:t>5</w:t>
            </w:r>
            <w:r w:rsidR="0058143B">
              <w:rPr>
                <w:noProof/>
                <w:webHidden/>
              </w:rPr>
              <w:fldChar w:fldCharType="end"/>
            </w:r>
          </w:hyperlink>
        </w:p>
        <w:p w14:paraId="0FBA78DE" w14:textId="7E45D037" w:rsidR="0058143B" w:rsidRDefault="001143B4">
          <w:pPr>
            <w:pStyle w:val="TM2"/>
            <w:rPr>
              <w:rFonts w:eastAsiaTheme="minorEastAsia" w:cstheme="minorBidi"/>
              <w:noProof/>
              <w:color w:val="auto"/>
              <w:szCs w:val="22"/>
            </w:rPr>
          </w:pPr>
          <w:hyperlink w:anchor="_Toc77686014" w:history="1">
            <w:r w:rsidR="0058143B" w:rsidRPr="0002769E">
              <w:rPr>
                <w:rStyle w:val="Lienhypertexte"/>
                <w:noProof/>
              </w:rPr>
              <w:t>1.4.</w:t>
            </w:r>
            <w:r w:rsidR="0058143B">
              <w:rPr>
                <w:rFonts w:eastAsiaTheme="minorEastAsia" w:cstheme="minorBidi"/>
                <w:noProof/>
                <w:color w:val="auto"/>
                <w:szCs w:val="22"/>
              </w:rPr>
              <w:tab/>
            </w:r>
            <w:r w:rsidR="0058143B" w:rsidRPr="0002769E">
              <w:rPr>
                <w:rStyle w:val="Lienhypertexte"/>
                <w:noProof/>
              </w:rPr>
              <w:t>Le Client et l’accès au Réseau Public de Distribution</w:t>
            </w:r>
            <w:r w:rsidR="0058143B">
              <w:rPr>
                <w:noProof/>
                <w:webHidden/>
              </w:rPr>
              <w:tab/>
            </w:r>
            <w:r w:rsidR="0058143B">
              <w:rPr>
                <w:noProof/>
                <w:webHidden/>
              </w:rPr>
              <w:fldChar w:fldCharType="begin"/>
            </w:r>
            <w:r w:rsidR="0058143B">
              <w:rPr>
                <w:noProof/>
                <w:webHidden/>
              </w:rPr>
              <w:instrText xml:space="preserve"> PAGEREF _Toc77686014 \h </w:instrText>
            </w:r>
            <w:r w:rsidR="0058143B">
              <w:rPr>
                <w:noProof/>
                <w:webHidden/>
              </w:rPr>
            </w:r>
            <w:r w:rsidR="0058143B">
              <w:rPr>
                <w:noProof/>
                <w:webHidden/>
              </w:rPr>
              <w:fldChar w:fldCharType="separate"/>
            </w:r>
            <w:r w:rsidR="0058143B">
              <w:rPr>
                <w:noProof/>
                <w:webHidden/>
              </w:rPr>
              <w:t>6</w:t>
            </w:r>
            <w:r w:rsidR="0058143B">
              <w:rPr>
                <w:noProof/>
                <w:webHidden/>
              </w:rPr>
              <w:fldChar w:fldCharType="end"/>
            </w:r>
          </w:hyperlink>
        </w:p>
        <w:p w14:paraId="7FBB9D88" w14:textId="5D44185A" w:rsidR="0058143B" w:rsidRDefault="001143B4">
          <w:pPr>
            <w:pStyle w:val="TM2"/>
            <w:rPr>
              <w:rFonts w:eastAsiaTheme="minorEastAsia" w:cstheme="minorBidi"/>
              <w:noProof/>
              <w:color w:val="auto"/>
              <w:szCs w:val="22"/>
            </w:rPr>
          </w:pPr>
          <w:hyperlink w:anchor="_Toc77686015" w:history="1">
            <w:r w:rsidR="0058143B" w:rsidRPr="0002769E">
              <w:rPr>
                <w:rStyle w:val="Lienhypertexte"/>
                <w:noProof/>
              </w:rPr>
              <w:t>1.5.</w:t>
            </w:r>
            <w:r w:rsidR="0058143B">
              <w:rPr>
                <w:rFonts w:eastAsiaTheme="minorEastAsia" w:cstheme="minorBidi"/>
                <w:noProof/>
                <w:color w:val="auto"/>
                <w:szCs w:val="22"/>
              </w:rPr>
              <w:tab/>
            </w:r>
            <w:r w:rsidR="0058143B" w:rsidRPr="0002769E">
              <w:rPr>
                <w:rStyle w:val="Lienhypertexte"/>
                <w:noProof/>
              </w:rPr>
              <w:t>Relations directes entre le GRD et Client</w:t>
            </w:r>
            <w:r w:rsidR="0058143B">
              <w:rPr>
                <w:noProof/>
                <w:webHidden/>
              </w:rPr>
              <w:tab/>
            </w:r>
            <w:r w:rsidR="0058143B">
              <w:rPr>
                <w:noProof/>
                <w:webHidden/>
              </w:rPr>
              <w:fldChar w:fldCharType="begin"/>
            </w:r>
            <w:r w:rsidR="0058143B">
              <w:rPr>
                <w:noProof/>
                <w:webHidden/>
              </w:rPr>
              <w:instrText xml:space="preserve"> PAGEREF _Toc77686015 \h </w:instrText>
            </w:r>
            <w:r w:rsidR="0058143B">
              <w:rPr>
                <w:noProof/>
                <w:webHidden/>
              </w:rPr>
            </w:r>
            <w:r w:rsidR="0058143B">
              <w:rPr>
                <w:noProof/>
                <w:webHidden/>
              </w:rPr>
              <w:fldChar w:fldCharType="separate"/>
            </w:r>
            <w:r w:rsidR="0058143B">
              <w:rPr>
                <w:noProof/>
                <w:webHidden/>
              </w:rPr>
              <w:t>6</w:t>
            </w:r>
            <w:r w:rsidR="0058143B">
              <w:rPr>
                <w:noProof/>
                <w:webHidden/>
              </w:rPr>
              <w:fldChar w:fldCharType="end"/>
            </w:r>
          </w:hyperlink>
        </w:p>
        <w:p w14:paraId="5B977625" w14:textId="59827DE1" w:rsidR="0058143B" w:rsidRDefault="001143B4">
          <w:pPr>
            <w:pStyle w:val="TM2"/>
            <w:rPr>
              <w:rFonts w:eastAsiaTheme="minorEastAsia" w:cstheme="minorBidi"/>
              <w:noProof/>
              <w:color w:val="auto"/>
              <w:szCs w:val="22"/>
            </w:rPr>
          </w:pPr>
          <w:hyperlink w:anchor="_Toc77686016" w:history="1">
            <w:r w:rsidR="0058143B" w:rsidRPr="0002769E">
              <w:rPr>
                <w:rStyle w:val="Lienhypertexte"/>
                <w:noProof/>
              </w:rPr>
              <w:t>1.6.</w:t>
            </w:r>
            <w:r w:rsidR="0058143B">
              <w:rPr>
                <w:rFonts w:eastAsiaTheme="minorEastAsia" w:cstheme="minorBidi"/>
                <w:noProof/>
                <w:color w:val="auto"/>
                <w:szCs w:val="22"/>
              </w:rPr>
              <w:tab/>
            </w:r>
            <w:r w:rsidR="0058143B" w:rsidRPr="0002769E">
              <w:rPr>
                <w:rStyle w:val="Lienhypertexte"/>
                <w:noProof/>
              </w:rPr>
              <w:t>Protection des informations commercialement sensibles et des données à caractère personnel</w:t>
            </w:r>
            <w:r w:rsidR="0058143B">
              <w:rPr>
                <w:noProof/>
                <w:webHidden/>
              </w:rPr>
              <w:tab/>
            </w:r>
            <w:r w:rsidR="0058143B">
              <w:rPr>
                <w:noProof/>
                <w:webHidden/>
              </w:rPr>
              <w:fldChar w:fldCharType="begin"/>
            </w:r>
            <w:r w:rsidR="0058143B">
              <w:rPr>
                <w:noProof/>
                <w:webHidden/>
              </w:rPr>
              <w:instrText xml:space="preserve"> PAGEREF _Toc77686016 \h </w:instrText>
            </w:r>
            <w:r w:rsidR="0058143B">
              <w:rPr>
                <w:noProof/>
                <w:webHidden/>
              </w:rPr>
            </w:r>
            <w:r w:rsidR="0058143B">
              <w:rPr>
                <w:noProof/>
                <w:webHidden/>
              </w:rPr>
              <w:fldChar w:fldCharType="separate"/>
            </w:r>
            <w:r w:rsidR="0058143B">
              <w:rPr>
                <w:noProof/>
                <w:webHidden/>
              </w:rPr>
              <w:t>7</w:t>
            </w:r>
            <w:r w:rsidR="0058143B">
              <w:rPr>
                <w:noProof/>
                <w:webHidden/>
              </w:rPr>
              <w:fldChar w:fldCharType="end"/>
            </w:r>
          </w:hyperlink>
        </w:p>
        <w:p w14:paraId="5C9C6080" w14:textId="0E224694" w:rsidR="0058143B" w:rsidRDefault="001143B4">
          <w:pPr>
            <w:pStyle w:val="TM3"/>
            <w:tabs>
              <w:tab w:val="left" w:pos="1701"/>
            </w:tabs>
            <w:rPr>
              <w:rFonts w:eastAsiaTheme="minorEastAsia" w:cstheme="minorBidi"/>
              <w:b w:val="0"/>
              <w:noProof/>
              <w:color w:val="auto"/>
              <w:sz w:val="22"/>
              <w:szCs w:val="22"/>
            </w:rPr>
          </w:pPr>
          <w:hyperlink w:anchor="_Toc77686017" w:history="1">
            <w:r w:rsidR="0058143B" w:rsidRPr="0002769E">
              <w:rPr>
                <w:rStyle w:val="Lienhypertexte"/>
                <w:noProof/>
              </w:rPr>
              <w:t>1.6.1.</w:t>
            </w:r>
            <w:r w:rsidR="0058143B">
              <w:rPr>
                <w:rFonts w:eastAsiaTheme="minorEastAsia" w:cstheme="minorBidi"/>
                <w:b w:val="0"/>
                <w:noProof/>
                <w:color w:val="auto"/>
                <w:sz w:val="22"/>
                <w:szCs w:val="22"/>
              </w:rPr>
              <w:tab/>
            </w:r>
            <w:r w:rsidR="0058143B" w:rsidRPr="0002769E">
              <w:rPr>
                <w:rStyle w:val="Lienhypertexte"/>
                <w:noProof/>
              </w:rPr>
              <w:t>Protection des informations commercialement sensibles</w:t>
            </w:r>
            <w:r w:rsidR="0058143B">
              <w:rPr>
                <w:noProof/>
                <w:webHidden/>
              </w:rPr>
              <w:tab/>
            </w:r>
            <w:r w:rsidR="0058143B">
              <w:rPr>
                <w:noProof/>
                <w:webHidden/>
              </w:rPr>
              <w:fldChar w:fldCharType="begin"/>
            </w:r>
            <w:r w:rsidR="0058143B">
              <w:rPr>
                <w:noProof/>
                <w:webHidden/>
              </w:rPr>
              <w:instrText xml:space="preserve"> PAGEREF _Toc77686017 \h </w:instrText>
            </w:r>
            <w:r w:rsidR="0058143B">
              <w:rPr>
                <w:noProof/>
                <w:webHidden/>
              </w:rPr>
            </w:r>
            <w:r w:rsidR="0058143B">
              <w:rPr>
                <w:noProof/>
                <w:webHidden/>
              </w:rPr>
              <w:fldChar w:fldCharType="separate"/>
            </w:r>
            <w:r w:rsidR="0058143B">
              <w:rPr>
                <w:noProof/>
                <w:webHidden/>
              </w:rPr>
              <w:t>7</w:t>
            </w:r>
            <w:r w:rsidR="0058143B">
              <w:rPr>
                <w:noProof/>
                <w:webHidden/>
              </w:rPr>
              <w:fldChar w:fldCharType="end"/>
            </w:r>
          </w:hyperlink>
        </w:p>
        <w:p w14:paraId="762F0063" w14:textId="44B4F74B" w:rsidR="0058143B" w:rsidRDefault="001143B4">
          <w:pPr>
            <w:pStyle w:val="TM3"/>
            <w:tabs>
              <w:tab w:val="left" w:pos="1701"/>
            </w:tabs>
            <w:rPr>
              <w:rFonts w:eastAsiaTheme="minorEastAsia" w:cstheme="minorBidi"/>
              <w:b w:val="0"/>
              <w:noProof/>
              <w:color w:val="auto"/>
              <w:sz w:val="22"/>
              <w:szCs w:val="22"/>
            </w:rPr>
          </w:pPr>
          <w:hyperlink w:anchor="_Toc77686018" w:history="1">
            <w:r w:rsidR="0058143B" w:rsidRPr="0002769E">
              <w:rPr>
                <w:rStyle w:val="Lienhypertexte"/>
                <w:noProof/>
              </w:rPr>
              <w:t>1.6.2.</w:t>
            </w:r>
            <w:r w:rsidR="0058143B">
              <w:rPr>
                <w:rFonts w:eastAsiaTheme="minorEastAsia" w:cstheme="minorBidi"/>
                <w:b w:val="0"/>
                <w:noProof/>
                <w:color w:val="auto"/>
                <w:sz w:val="22"/>
                <w:szCs w:val="22"/>
              </w:rPr>
              <w:tab/>
            </w:r>
            <w:r w:rsidR="0058143B" w:rsidRPr="0002769E">
              <w:rPr>
                <w:rStyle w:val="Lienhypertexte"/>
                <w:noProof/>
              </w:rPr>
              <w:t>Protection des données à caractère personnel</w:t>
            </w:r>
            <w:r w:rsidR="0058143B">
              <w:rPr>
                <w:noProof/>
                <w:webHidden/>
              </w:rPr>
              <w:tab/>
            </w:r>
            <w:r w:rsidR="0058143B">
              <w:rPr>
                <w:noProof/>
                <w:webHidden/>
              </w:rPr>
              <w:fldChar w:fldCharType="begin"/>
            </w:r>
            <w:r w:rsidR="0058143B">
              <w:rPr>
                <w:noProof/>
                <w:webHidden/>
              </w:rPr>
              <w:instrText xml:space="preserve"> PAGEREF _Toc77686018 \h </w:instrText>
            </w:r>
            <w:r w:rsidR="0058143B">
              <w:rPr>
                <w:noProof/>
                <w:webHidden/>
              </w:rPr>
            </w:r>
            <w:r w:rsidR="0058143B">
              <w:rPr>
                <w:noProof/>
                <w:webHidden/>
              </w:rPr>
              <w:fldChar w:fldCharType="separate"/>
            </w:r>
            <w:r w:rsidR="0058143B">
              <w:rPr>
                <w:noProof/>
                <w:webHidden/>
              </w:rPr>
              <w:t>8</w:t>
            </w:r>
            <w:r w:rsidR="0058143B">
              <w:rPr>
                <w:noProof/>
                <w:webHidden/>
              </w:rPr>
              <w:fldChar w:fldCharType="end"/>
            </w:r>
          </w:hyperlink>
        </w:p>
        <w:p w14:paraId="042ED9C5" w14:textId="7227C480" w:rsidR="0058143B" w:rsidRDefault="001143B4">
          <w:pPr>
            <w:pStyle w:val="TM1"/>
            <w:rPr>
              <w:rFonts w:eastAsiaTheme="minorEastAsia" w:cstheme="minorBidi"/>
              <w:b w:val="0"/>
              <w:noProof/>
              <w:color w:val="auto"/>
              <w:sz w:val="22"/>
              <w:szCs w:val="22"/>
            </w:rPr>
          </w:pPr>
          <w:hyperlink w:anchor="_Toc77686019" w:history="1">
            <w:r w:rsidR="0058143B" w:rsidRPr="0002769E">
              <w:rPr>
                <w:rStyle w:val="Lienhypertexte"/>
                <w:bCs/>
                <w:caps/>
                <w:noProof/>
              </w:rPr>
              <w:t>2.</w:t>
            </w:r>
            <w:r w:rsidR="0058143B">
              <w:rPr>
                <w:rFonts w:eastAsiaTheme="minorEastAsia" w:cstheme="minorBidi"/>
                <w:b w:val="0"/>
                <w:noProof/>
                <w:color w:val="auto"/>
                <w:sz w:val="22"/>
                <w:szCs w:val="22"/>
              </w:rPr>
              <w:tab/>
            </w:r>
            <w:r w:rsidR="0058143B" w:rsidRPr="0002769E">
              <w:rPr>
                <w:rStyle w:val="Lienhypertexte"/>
                <w:noProof/>
              </w:rPr>
              <w:t>Raccordement</w:t>
            </w:r>
            <w:r w:rsidR="0058143B">
              <w:rPr>
                <w:noProof/>
                <w:webHidden/>
              </w:rPr>
              <w:tab/>
            </w:r>
            <w:r w:rsidR="0058143B">
              <w:rPr>
                <w:noProof/>
                <w:webHidden/>
              </w:rPr>
              <w:fldChar w:fldCharType="begin"/>
            </w:r>
            <w:r w:rsidR="0058143B">
              <w:rPr>
                <w:noProof/>
                <w:webHidden/>
              </w:rPr>
              <w:instrText xml:space="preserve"> PAGEREF _Toc77686019 \h </w:instrText>
            </w:r>
            <w:r w:rsidR="0058143B">
              <w:rPr>
                <w:noProof/>
                <w:webHidden/>
              </w:rPr>
            </w:r>
            <w:r w:rsidR="0058143B">
              <w:rPr>
                <w:noProof/>
                <w:webHidden/>
              </w:rPr>
              <w:fldChar w:fldCharType="separate"/>
            </w:r>
            <w:r w:rsidR="0058143B">
              <w:rPr>
                <w:noProof/>
                <w:webHidden/>
              </w:rPr>
              <w:t>9</w:t>
            </w:r>
            <w:r w:rsidR="0058143B">
              <w:rPr>
                <w:noProof/>
                <w:webHidden/>
              </w:rPr>
              <w:fldChar w:fldCharType="end"/>
            </w:r>
          </w:hyperlink>
        </w:p>
        <w:p w14:paraId="1464FB2A" w14:textId="20E3F16C" w:rsidR="0058143B" w:rsidRDefault="001143B4">
          <w:pPr>
            <w:pStyle w:val="TM2"/>
            <w:rPr>
              <w:rFonts w:eastAsiaTheme="minorEastAsia" w:cstheme="minorBidi"/>
              <w:noProof/>
              <w:color w:val="auto"/>
              <w:szCs w:val="22"/>
            </w:rPr>
          </w:pPr>
          <w:hyperlink w:anchor="_Toc77686020" w:history="1">
            <w:r w:rsidR="0058143B" w:rsidRPr="0002769E">
              <w:rPr>
                <w:rStyle w:val="Lienhypertexte"/>
                <w:noProof/>
              </w:rPr>
              <w:t>2.1.</w:t>
            </w:r>
            <w:r w:rsidR="0058143B">
              <w:rPr>
                <w:rFonts w:eastAsiaTheme="minorEastAsia" w:cstheme="minorBidi"/>
                <w:noProof/>
                <w:color w:val="auto"/>
                <w:szCs w:val="22"/>
              </w:rPr>
              <w:tab/>
            </w:r>
            <w:r w:rsidR="0058143B" w:rsidRPr="0002769E">
              <w:rPr>
                <w:rStyle w:val="Lienhypertexte"/>
                <w:noProof/>
              </w:rPr>
              <w:t>Ouvrages de raccordement</w:t>
            </w:r>
            <w:r w:rsidR="0058143B">
              <w:rPr>
                <w:noProof/>
                <w:webHidden/>
              </w:rPr>
              <w:tab/>
            </w:r>
            <w:r w:rsidR="0058143B">
              <w:rPr>
                <w:noProof/>
                <w:webHidden/>
              </w:rPr>
              <w:fldChar w:fldCharType="begin"/>
            </w:r>
            <w:r w:rsidR="0058143B">
              <w:rPr>
                <w:noProof/>
                <w:webHidden/>
              </w:rPr>
              <w:instrText xml:space="preserve"> PAGEREF _Toc77686020 \h </w:instrText>
            </w:r>
            <w:r w:rsidR="0058143B">
              <w:rPr>
                <w:noProof/>
                <w:webHidden/>
              </w:rPr>
            </w:r>
            <w:r w:rsidR="0058143B">
              <w:rPr>
                <w:noProof/>
                <w:webHidden/>
              </w:rPr>
              <w:fldChar w:fldCharType="separate"/>
            </w:r>
            <w:r w:rsidR="0058143B">
              <w:rPr>
                <w:noProof/>
                <w:webHidden/>
              </w:rPr>
              <w:t>9</w:t>
            </w:r>
            <w:r w:rsidR="0058143B">
              <w:rPr>
                <w:noProof/>
                <w:webHidden/>
              </w:rPr>
              <w:fldChar w:fldCharType="end"/>
            </w:r>
          </w:hyperlink>
        </w:p>
        <w:p w14:paraId="01042E43" w14:textId="22FF46E0" w:rsidR="0058143B" w:rsidRDefault="001143B4">
          <w:pPr>
            <w:pStyle w:val="TM2"/>
            <w:rPr>
              <w:rFonts w:eastAsiaTheme="minorEastAsia" w:cstheme="minorBidi"/>
              <w:noProof/>
              <w:color w:val="auto"/>
              <w:szCs w:val="22"/>
            </w:rPr>
          </w:pPr>
          <w:hyperlink w:anchor="_Toc77686021" w:history="1">
            <w:r w:rsidR="0058143B" w:rsidRPr="0002769E">
              <w:rPr>
                <w:rStyle w:val="Lienhypertexte"/>
                <w:noProof/>
              </w:rPr>
              <w:t>2.2.</w:t>
            </w:r>
            <w:r w:rsidR="0058143B">
              <w:rPr>
                <w:rFonts w:eastAsiaTheme="minorEastAsia" w:cstheme="minorBidi"/>
                <w:noProof/>
                <w:color w:val="auto"/>
                <w:szCs w:val="22"/>
              </w:rPr>
              <w:tab/>
            </w:r>
            <w:r w:rsidR="0058143B" w:rsidRPr="0002769E">
              <w:rPr>
                <w:rStyle w:val="Lienhypertexte"/>
                <w:noProof/>
              </w:rPr>
              <w:t>Evolution des ouvrages de raccordement</w:t>
            </w:r>
            <w:r w:rsidR="0058143B">
              <w:rPr>
                <w:noProof/>
                <w:webHidden/>
              </w:rPr>
              <w:tab/>
            </w:r>
            <w:r w:rsidR="0058143B">
              <w:rPr>
                <w:noProof/>
                <w:webHidden/>
              </w:rPr>
              <w:fldChar w:fldCharType="begin"/>
            </w:r>
            <w:r w:rsidR="0058143B">
              <w:rPr>
                <w:noProof/>
                <w:webHidden/>
              </w:rPr>
              <w:instrText xml:space="preserve"> PAGEREF _Toc77686021 \h </w:instrText>
            </w:r>
            <w:r w:rsidR="0058143B">
              <w:rPr>
                <w:noProof/>
                <w:webHidden/>
              </w:rPr>
            </w:r>
            <w:r w:rsidR="0058143B">
              <w:rPr>
                <w:noProof/>
                <w:webHidden/>
              </w:rPr>
              <w:fldChar w:fldCharType="separate"/>
            </w:r>
            <w:r w:rsidR="0058143B">
              <w:rPr>
                <w:noProof/>
                <w:webHidden/>
              </w:rPr>
              <w:t>9</w:t>
            </w:r>
            <w:r w:rsidR="0058143B">
              <w:rPr>
                <w:noProof/>
                <w:webHidden/>
              </w:rPr>
              <w:fldChar w:fldCharType="end"/>
            </w:r>
          </w:hyperlink>
        </w:p>
        <w:p w14:paraId="186F7611" w14:textId="407AA45B" w:rsidR="0058143B" w:rsidRDefault="001143B4">
          <w:pPr>
            <w:pStyle w:val="TM2"/>
            <w:rPr>
              <w:rFonts w:eastAsiaTheme="minorEastAsia" w:cstheme="minorBidi"/>
              <w:noProof/>
              <w:color w:val="auto"/>
              <w:szCs w:val="22"/>
            </w:rPr>
          </w:pPr>
          <w:hyperlink w:anchor="_Toc77686022" w:history="1">
            <w:r w:rsidR="0058143B" w:rsidRPr="0002769E">
              <w:rPr>
                <w:rStyle w:val="Lienhypertexte"/>
                <w:noProof/>
              </w:rPr>
              <w:t>2.3.</w:t>
            </w:r>
            <w:r w:rsidR="0058143B">
              <w:rPr>
                <w:rFonts w:eastAsiaTheme="minorEastAsia" w:cstheme="minorBidi"/>
                <w:noProof/>
                <w:color w:val="auto"/>
                <w:szCs w:val="22"/>
              </w:rPr>
              <w:tab/>
            </w:r>
            <w:r w:rsidR="0058143B" w:rsidRPr="0002769E">
              <w:rPr>
                <w:rStyle w:val="Lienhypertexte"/>
                <w:noProof/>
              </w:rPr>
              <w:t>Installations du Client</w:t>
            </w:r>
            <w:r w:rsidR="0058143B">
              <w:rPr>
                <w:noProof/>
                <w:webHidden/>
              </w:rPr>
              <w:tab/>
            </w:r>
            <w:r w:rsidR="0058143B">
              <w:rPr>
                <w:noProof/>
                <w:webHidden/>
              </w:rPr>
              <w:fldChar w:fldCharType="begin"/>
            </w:r>
            <w:r w:rsidR="0058143B">
              <w:rPr>
                <w:noProof/>
                <w:webHidden/>
              </w:rPr>
              <w:instrText xml:space="preserve"> PAGEREF _Toc77686022 \h </w:instrText>
            </w:r>
            <w:r w:rsidR="0058143B">
              <w:rPr>
                <w:noProof/>
                <w:webHidden/>
              </w:rPr>
            </w:r>
            <w:r w:rsidR="0058143B">
              <w:rPr>
                <w:noProof/>
                <w:webHidden/>
              </w:rPr>
              <w:fldChar w:fldCharType="separate"/>
            </w:r>
            <w:r w:rsidR="0058143B">
              <w:rPr>
                <w:noProof/>
                <w:webHidden/>
              </w:rPr>
              <w:t>10</w:t>
            </w:r>
            <w:r w:rsidR="0058143B">
              <w:rPr>
                <w:noProof/>
                <w:webHidden/>
              </w:rPr>
              <w:fldChar w:fldCharType="end"/>
            </w:r>
          </w:hyperlink>
        </w:p>
        <w:p w14:paraId="071126B9" w14:textId="69F60EE6" w:rsidR="0058143B" w:rsidRDefault="001143B4">
          <w:pPr>
            <w:pStyle w:val="TM3"/>
            <w:tabs>
              <w:tab w:val="left" w:pos="1701"/>
            </w:tabs>
            <w:rPr>
              <w:rFonts w:eastAsiaTheme="minorEastAsia" w:cstheme="minorBidi"/>
              <w:b w:val="0"/>
              <w:noProof/>
              <w:color w:val="auto"/>
              <w:sz w:val="22"/>
              <w:szCs w:val="22"/>
            </w:rPr>
          </w:pPr>
          <w:hyperlink w:anchor="_Toc77686023" w:history="1">
            <w:r w:rsidR="0058143B" w:rsidRPr="0002769E">
              <w:rPr>
                <w:rStyle w:val="Lienhypertexte"/>
                <w:noProof/>
              </w:rPr>
              <w:t>2.3.1.</w:t>
            </w:r>
            <w:r w:rsidR="0058143B">
              <w:rPr>
                <w:rFonts w:eastAsiaTheme="minorEastAsia" w:cstheme="minorBidi"/>
                <w:b w:val="0"/>
                <w:noProof/>
                <w:color w:val="auto"/>
                <w:sz w:val="22"/>
                <w:szCs w:val="22"/>
              </w:rPr>
              <w:tab/>
            </w:r>
            <w:r w:rsidR="0058143B" w:rsidRPr="0002769E">
              <w:rPr>
                <w:rStyle w:val="Lienhypertexte"/>
                <w:noProof/>
              </w:rPr>
              <w:t>Installations de Production d’électricité présents chez le Client</w:t>
            </w:r>
            <w:r w:rsidR="0058143B">
              <w:rPr>
                <w:noProof/>
                <w:webHidden/>
              </w:rPr>
              <w:tab/>
            </w:r>
            <w:r w:rsidR="0058143B">
              <w:rPr>
                <w:noProof/>
                <w:webHidden/>
              </w:rPr>
              <w:fldChar w:fldCharType="begin"/>
            </w:r>
            <w:r w:rsidR="0058143B">
              <w:rPr>
                <w:noProof/>
                <w:webHidden/>
              </w:rPr>
              <w:instrText xml:space="preserve"> PAGEREF _Toc77686023 \h </w:instrText>
            </w:r>
            <w:r w:rsidR="0058143B">
              <w:rPr>
                <w:noProof/>
                <w:webHidden/>
              </w:rPr>
            </w:r>
            <w:r w:rsidR="0058143B">
              <w:rPr>
                <w:noProof/>
                <w:webHidden/>
              </w:rPr>
              <w:fldChar w:fldCharType="separate"/>
            </w:r>
            <w:r w:rsidR="0058143B">
              <w:rPr>
                <w:noProof/>
                <w:webHidden/>
              </w:rPr>
              <w:t>10</w:t>
            </w:r>
            <w:r w:rsidR="0058143B">
              <w:rPr>
                <w:noProof/>
                <w:webHidden/>
              </w:rPr>
              <w:fldChar w:fldCharType="end"/>
            </w:r>
          </w:hyperlink>
        </w:p>
        <w:p w14:paraId="38073D32" w14:textId="006D17BE" w:rsidR="0058143B" w:rsidRDefault="001143B4">
          <w:pPr>
            <w:pStyle w:val="TM3"/>
            <w:tabs>
              <w:tab w:val="left" w:pos="1701"/>
            </w:tabs>
            <w:rPr>
              <w:rFonts w:eastAsiaTheme="minorEastAsia" w:cstheme="minorBidi"/>
              <w:b w:val="0"/>
              <w:noProof/>
              <w:color w:val="auto"/>
              <w:sz w:val="22"/>
              <w:szCs w:val="22"/>
            </w:rPr>
          </w:pPr>
          <w:hyperlink w:anchor="_Toc77686024" w:history="1">
            <w:r w:rsidR="0058143B" w:rsidRPr="0002769E">
              <w:rPr>
                <w:rStyle w:val="Lienhypertexte"/>
                <w:noProof/>
              </w:rPr>
              <w:t>2.3.2.</w:t>
            </w:r>
            <w:r w:rsidR="0058143B">
              <w:rPr>
                <w:rFonts w:eastAsiaTheme="minorEastAsia" w:cstheme="minorBidi"/>
                <w:b w:val="0"/>
                <w:noProof/>
                <w:color w:val="auto"/>
                <w:sz w:val="22"/>
                <w:szCs w:val="22"/>
              </w:rPr>
              <w:tab/>
            </w:r>
            <w:r w:rsidR="0058143B" w:rsidRPr="0002769E">
              <w:rPr>
                <w:rStyle w:val="Lienhypertexte"/>
                <w:noProof/>
              </w:rPr>
              <w:t>Droit d'accès et de contrôle</w:t>
            </w:r>
            <w:r w:rsidR="0058143B">
              <w:rPr>
                <w:noProof/>
                <w:webHidden/>
              </w:rPr>
              <w:tab/>
            </w:r>
            <w:r w:rsidR="0058143B">
              <w:rPr>
                <w:noProof/>
                <w:webHidden/>
              </w:rPr>
              <w:fldChar w:fldCharType="begin"/>
            </w:r>
            <w:r w:rsidR="0058143B">
              <w:rPr>
                <w:noProof/>
                <w:webHidden/>
              </w:rPr>
              <w:instrText xml:space="preserve"> PAGEREF _Toc77686024 \h </w:instrText>
            </w:r>
            <w:r w:rsidR="0058143B">
              <w:rPr>
                <w:noProof/>
                <w:webHidden/>
              </w:rPr>
            </w:r>
            <w:r w:rsidR="0058143B">
              <w:rPr>
                <w:noProof/>
                <w:webHidden/>
              </w:rPr>
              <w:fldChar w:fldCharType="separate"/>
            </w:r>
            <w:r w:rsidR="0058143B">
              <w:rPr>
                <w:noProof/>
                <w:webHidden/>
              </w:rPr>
              <w:t>10</w:t>
            </w:r>
            <w:r w:rsidR="0058143B">
              <w:rPr>
                <w:noProof/>
                <w:webHidden/>
              </w:rPr>
              <w:fldChar w:fldCharType="end"/>
            </w:r>
          </w:hyperlink>
        </w:p>
        <w:p w14:paraId="08C368EB" w14:textId="50B2BB5E" w:rsidR="0058143B" w:rsidRDefault="001143B4">
          <w:pPr>
            <w:pStyle w:val="TM3"/>
            <w:tabs>
              <w:tab w:val="left" w:pos="1701"/>
            </w:tabs>
            <w:rPr>
              <w:rFonts w:eastAsiaTheme="minorEastAsia" w:cstheme="minorBidi"/>
              <w:b w:val="0"/>
              <w:noProof/>
              <w:color w:val="auto"/>
              <w:sz w:val="22"/>
              <w:szCs w:val="22"/>
            </w:rPr>
          </w:pPr>
          <w:hyperlink w:anchor="_Toc77686025" w:history="1">
            <w:r w:rsidR="0058143B" w:rsidRPr="0002769E">
              <w:rPr>
                <w:rStyle w:val="Lienhypertexte"/>
                <w:noProof/>
              </w:rPr>
              <w:t>2.3.3.</w:t>
            </w:r>
            <w:r w:rsidR="0058143B">
              <w:rPr>
                <w:rFonts w:eastAsiaTheme="minorEastAsia" w:cstheme="minorBidi"/>
                <w:b w:val="0"/>
                <w:noProof/>
                <w:color w:val="auto"/>
                <w:sz w:val="22"/>
                <w:szCs w:val="22"/>
              </w:rPr>
              <w:tab/>
            </w:r>
            <w:r w:rsidR="0058143B" w:rsidRPr="0002769E">
              <w:rPr>
                <w:rStyle w:val="Lienhypertexte"/>
                <w:noProof/>
              </w:rPr>
              <w:t>Responsabilité</w:t>
            </w:r>
            <w:r w:rsidR="0058143B">
              <w:rPr>
                <w:noProof/>
                <w:webHidden/>
              </w:rPr>
              <w:tab/>
            </w:r>
            <w:r w:rsidR="0058143B">
              <w:rPr>
                <w:noProof/>
                <w:webHidden/>
              </w:rPr>
              <w:fldChar w:fldCharType="begin"/>
            </w:r>
            <w:r w:rsidR="0058143B">
              <w:rPr>
                <w:noProof/>
                <w:webHidden/>
              </w:rPr>
              <w:instrText xml:space="preserve"> PAGEREF _Toc77686025 \h </w:instrText>
            </w:r>
            <w:r w:rsidR="0058143B">
              <w:rPr>
                <w:noProof/>
                <w:webHidden/>
              </w:rPr>
            </w:r>
            <w:r w:rsidR="0058143B">
              <w:rPr>
                <w:noProof/>
                <w:webHidden/>
              </w:rPr>
              <w:fldChar w:fldCharType="separate"/>
            </w:r>
            <w:r w:rsidR="0058143B">
              <w:rPr>
                <w:noProof/>
                <w:webHidden/>
              </w:rPr>
              <w:t>11</w:t>
            </w:r>
            <w:r w:rsidR="0058143B">
              <w:rPr>
                <w:noProof/>
                <w:webHidden/>
              </w:rPr>
              <w:fldChar w:fldCharType="end"/>
            </w:r>
          </w:hyperlink>
        </w:p>
        <w:p w14:paraId="4B9CAE93" w14:textId="52D1D0B4" w:rsidR="0058143B" w:rsidRDefault="001143B4">
          <w:pPr>
            <w:pStyle w:val="TM2"/>
            <w:rPr>
              <w:rFonts w:eastAsiaTheme="minorEastAsia" w:cstheme="minorBidi"/>
              <w:noProof/>
              <w:color w:val="auto"/>
              <w:szCs w:val="22"/>
            </w:rPr>
          </w:pPr>
          <w:hyperlink w:anchor="_Toc77686026" w:history="1">
            <w:r w:rsidR="0058143B" w:rsidRPr="0002769E">
              <w:rPr>
                <w:rStyle w:val="Lienhypertexte"/>
                <w:noProof/>
              </w:rPr>
              <w:t>2.4.</w:t>
            </w:r>
            <w:r w:rsidR="0058143B">
              <w:rPr>
                <w:rFonts w:eastAsiaTheme="minorEastAsia" w:cstheme="minorBidi"/>
                <w:noProof/>
                <w:color w:val="auto"/>
                <w:szCs w:val="22"/>
              </w:rPr>
              <w:tab/>
            </w:r>
            <w:r w:rsidR="0058143B" w:rsidRPr="0002769E">
              <w:rPr>
                <w:rStyle w:val="Lienhypertexte"/>
                <w:noProof/>
              </w:rPr>
              <w:t>Mise en service</w:t>
            </w:r>
            <w:r w:rsidR="0058143B">
              <w:rPr>
                <w:noProof/>
                <w:webHidden/>
              </w:rPr>
              <w:tab/>
            </w:r>
            <w:r w:rsidR="0058143B">
              <w:rPr>
                <w:noProof/>
                <w:webHidden/>
              </w:rPr>
              <w:fldChar w:fldCharType="begin"/>
            </w:r>
            <w:r w:rsidR="0058143B">
              <w:rPr>
                <w:noProof/>
                <w:webHidden/>
              </w:rPr>
              <w:instrText xml:space="preserve"> PAGEREF _Toc77686026 \h </w:instrText>
            </w:r>
            <w:r w:rsidR="0058143B">
              <w:rPr>
                <w:noProof/>
                <w:webHidden/>
              </w:rPr>
            </w:r>
            <w:r w:rsidR="0058143B">
              <w:rPr>
                <w:noProof/>
                <w:webHidden/>
              </w:rPr>
              <w:fldChar w:fldCharType="separate"/>
            </w:r>
            <w:r w:rsidR="0058143B">
              <w:rPr>
                <w:noProof/>
                <w:webHidden/>
              </w:rPr>
              <w:t>11</w:t>
            </w:r>
            <w:r w:rsidR="0058143B">
              <w:rPr>
                <w:noProof/>
                <w:webHidden/>
              </w:rPr>
              <w:fldChar w:fldCharType="end"/>
            </w:r>
          </w:hyperlink>
        </w:p>
        <w:p w14:paraId="54E227E0" w14:textId="03854BF8" w:rsidR="0058143B" w:rsidRDefault="001143B4">
          <w:pPr>
            <w:pStyle w:val="TM3"/>
            <w:tabs>
              <w:tab w:val="left" w:pos="1701"/>
            </w:tabs>
            <w:rPr>
              <w:rFonts w:eastAsiaTheme="minorEastAsia" w:cstheme="minorBidi"/>
              <w:b w:val="0"/>
              <w:noProof/>
              <w:color w:val="auto"/>
              <w:sz w:val="22"/>
              <w:szCs w:val="22"/>
            </w:rPr>
          </w:pPr>
          <w:hyperlink w:anchor="_Toc77686027" w:history="1">
            <w:r w:rsidR="0058143B" w:rsidRPr="0002769E">
              <w:rPr>
                <w:rStyle w:val="Lienhypertexte"/>
                <w:noProof/>
              </w:rPr>
              <w:t>2.4.1.</w:t>
            </w:r>
            <w:r w:rsidR="0058143B">
              <w:rPr>
                <w:rFonts w:eastAsiaTheme="minorEastAsia" w:cstheme="minorBidi"/>
                <w:b w:val="0"/>
                <w:noProof/>
                <w:color w:val="auto"/>
                <w:sz w:val="22"/>
                <w:szCs w:val="22"/>
              </w:rPr>
              <w:tab/>
            </w:r>
            <w:r w:rsidR="0058143B" w:rsidRPr="0002769E">
              <w:rPr>
                <w:rStyle w:val="Lienhypertexte"/>
                <w:noProof/>
              </w:rPr>
              <w:t>Mise en service à la suite d’un raccordement nouveau</w:t>
            </w:r>
            <w:r w:rsidR="0058143B">
              <w:rPr>
                <w:noProof/>
                <w:webHidden/>
              </w:rPr>
              <w:tab/>
            </w:r>
            <w:r w:rsidR="0058143B">
              <w:rPr>
                <w:noProof/>
                <w:webHidden/>
              </w:rPr>
              <w:fldChar w:fldCharType="begin"/>
            </w:r>
            <w:r w:rsidR="0058143B">
              <w:rPr>
                <w:noProof/>
                <w:webHidden/>
              </w:rPr>
              <w:instrText xml:space="preserve"> PAGEREF _Toc77686027 \h </w:instrText>
            </w:r>
            <w:r w:rsidR="0058143B">
              <w:rPr>
                <w:noProof/>
                <w:webHidden/>
              </w:rPr>
            </w:r>
            <w:r w:rsidR="0058143B">
              <w:rPr>
                <w:noProof/>
                <w:webHidden/>
              </w:rPr>
              <w:fldChar w:fldCharType="separate"/>
            </w:r>
            <w:r w:rsidR="0058143B">
              <w:rPr>
                <w:noProof/>
                <w:webHidden/>
              </w:rPr>
              <w:t>11</w:t>
            </w:r>
            <w:r w:rsidR="0058143B">
              <w:rPr>
                <w:noProof/>
                <w:webHidden/>
              </w:rPr>
              <w:fldChar w:fldCharType="end"/>
            </w:r>
          </w:hyperlink>
        </w:p>
        <w:p w14:paraId="03209A7D" w14:textId="187526E2" w:rsidR="0058143B" w:rsidRDefault="001143B4">
          <w:pPr>
            <w:pStyle w:val="TM3"/>
            <w:tabs>
              <w:tab w:val="left" w:pos="1701"/>
            </w:tabs>
            <w:rPr>
              <w:rFonts w:eastAsiaTheme="minorEastAsia" w:cstheme="minorBidi"/>
              <w:b w:val="0"/>
              <w:noProof/>
              <w:color w:val="auto"/>
              <w:sz w:val="22"/>
              <w:szCs w:val="22"/>
            </w:rPr>
          </w:pPr>
          <w:hyperlink w:anchor="_Toc77686028" w:history="1">
            <w:r w:rsidR="0058143B" w:rsidRPr="0002769E">
              <w:rPr>
                <w:rStyle w:val="Lienhypertexte"/>
                <w:noProof/>
              </w:rPr>
              <w:t>2.4.2.</w:t>
            </w:r>
            <w:r w:rsidR="0058143B">
              <w:rPr>
                <w:rFonts w:eastAsiaTheme="minorEastAsia" w:cstheme="minorBidi"/>
                <w:b w:val="0"/>
                <w:noProof/>
                <w:color w:val="auto"/>
                <w:sz w:val="22"/>
                <w:szCs w:val="22"/>
              </w:rPr>
              <w:tab/>
            </w:r>
            <w:r w:rsidR="0058143B" w:rsidRPr="0002769E">
              <w:rPr>
                <w:rStyle w:val="Lienhypertexte"/>
                <w:noProof/>
              </w:rPr>
              <w:t>Mise en service sur raccordement existant</w:t>
            </w:r>
            <w:r w:rsidR="0058143B">
              <w:rPr>
                <w:noProof/>
                <w:webHidden/>
              </w:rPr>
              <w:tab/>
            </w:r>
            <w:r w:rsidR="0058143B">
              <w:rPr>
                <w:noProof/>
                <w:webHidden/>
              </w:rPr>
              <w:fldChar w:fldCharType="begin"/>
            </w:r>
            <w:r w:rsidR="0058143B">
              <w:rPr>
                <w:noProof/>
                <w:webHidden/>
              </w:rPr>
              <w:instrText xml:space="preserve"> PAGEREF _Toc77686028 \h </w:instrText>
            </w:r>
            <w:r w:rsidR="0058143B">
              <w:rPr>
                <w:noProof/>
                <w:webHidden/>
              </w:rPr>
            </w:r>
            <w:r w:rsidR="0058143B">
              <w:rPr>
                <w:noProof/>
                <w:webHidden/>
              </w:rPr>
              <w:fldChar w:fldCharType="separate"/>
            </w:r>
            <w:r w:rsidR="0058143B">
              <w:rPr>
                <w:noProof/>
                <w:webHidden/>
              </w:rPr>
              <w:t>11</w:t>
            </w:r>
            <w:r w:rsidR="0058143B">
              <w:rPr>
                <w:noProof/>
                <w:webHidden/>
              </w:rPr>
              <w:fldChar w:fldCharType="end"/>
            </w:r>
          </w:hyperlink>
        </w:p>
        <w:p w14:paraId="14D36649" w14:textId="09DEF342" w:rsidR="0058143B" w:rsidRDefault="001143B4">
          <w:pPr>
            <w:pStyle w:val="TM2"/>
            <w:rPr>
              <w:rFonts w:eastAsiaTheme="minorEastAsia" w:cstheme="minorBidi"/>
              <w:noProof/>
              <w:color w:val="auto"/>
              <w:szCs w:val="22"/>
            </w:rPr>
          </w:pPr>
          <w:hyperlink w:anchor="_Toc77686029" w:history="1">
            <w:r w:rsidR="0058143B" w:rsidRPr="0002769E">
              <w:rPr>
                <w:rStyle w:val="Lienhypertexte"/>
                <w:noProof/>
              </w:rPr>
              <w:t>2.5.</w:t>
            </w:r>
            <w:r w:rsidR="0058143B">
              <w:rPr>
                <w:rFonts w:eastAsiaTheme="minorEastAsia" w:cstheme="minorBidi"/>
                <w:noProof/>
                <w:color w:val="auto"/>
                <w:szCs w:val="22"/>
              </w:rPr>
              <w:tab/>
            </w:r>
            <w:r w:rsidR="0058143B" w:rsidRPr="0002769E">
              <w:rPr>
                <w:rStyle w:val="Lienhypertexte"/>
                <w:noProof/>
              </w:rPr>
              <w:t>Suppression du raccordement du Site au Réseau Public de Distribution</w:t>
            </w:r>
            <w:r w:rsidR="0058143B">
              <w:rPr>
                <w:noProof/>
                <w:webHidden/>
              </w:rPr>
              <w:tab/>
            </w:r>
            <w:r w:rsidR="0058143B">
              <w:rPr>
                <w:noProof/>
                <w:webHidden/>
              </w:rPr>
              <w:fldChar w:fldCharType="begin"/>
            </w:r>
            <w:r w:rsidR="0058143B">
              <w:rPr>
                <w:noProof/>
                <w:webHidden/>
              </w:rPr>
              <w:instrText xml:space="preserve"> PAGEREF _Toc77686029 \h </w:instrText>
            </w:r>
            <w:r w:rsidR="0058143B">
              <w:rPr>
                <w:noProof/>
                <w:webHidden/>
              </w:rPr>
            </w:r>
            <w:r w:rsidR="0058143B">
              <w:rPr>
                <w:noProof/>
                <w:webHidden/>
              </w:rPr>
              <w:fldChar w:fldCharType="separate"/>
            </w:r>
            <w:r w:rsidR="0058143B">
              <w:rPr>
                <w:noProof/>
                <w:webHidden/>
              </w:rPr>
              <w:t>12</w:t>
            </w:r>
            <w:r w:rsidR="0058143B">
              <w:rPr>
                <w:noProof/>
                <w:webHidden/>
              </w:rPr>
              <w:fldChar w:fldCharType="end"/>
            </w:r>
          </w:hyperlink>
        </w:p>
        <w:p w14:paraId="0D07ACD5" w14:textId="2178AB74" w:rsidR="0058143B" w:rsidRDefault="001143B4">
          <w:pPr>
            <w:pStyle w:val="TM1"/>
            <w:rPr>
              <w:rFonts w:eastAsiaTheme="minorEastAsia" w:cstheme="minorBidi"/>
              <w:b w:val="0"/>
              <w:noProof/>
              <w:color w:val="auto"/>
              <w:sz w:val="22"/>
              <w:szCs w:val="22"/>
            </w:rPr>
          </w:pPr>
          <w:hyperlink w:anchor="_Toc77686030" w:history="1">
            <w:r w:rsidR="0058143B" w:rsidRPr="0002769E">
              <w:rPr>
                <w:rStyle w:val="Lienhypertexte"/>
                <w:bCs/>
                <w:noProof/>
              </w:rPr>
              <w:t>3.</w:t>
            </w:r>
            <w:r w:rsidR="0058143B">
              <w:rPr>
                <w:rFonts w:eastAsiaTheme="minorEastAsia" w:cstheme="minorBidi"/>
                <w:b w:val="0"/>
                <w:noProof/>
                <w:color w:val="auto"/>
                <w:sz w:val="22"/>
                <w:szCs w:val="22"/>
              </w:rPr>
              <w:tab/>
            </w:r>
            <w:r w:rsidR="0058143B" w:rsidRPr="0002769E">
              <w:rPr>
                <w:rStyle w:val="Lienhypertexte"/>
                <w:noProof/>
              </w:rPr>
              <w:t>Comptage</w:t>
            </w:r>
            <w:r w:rsidR="0058143B">
              <w:rPr>
                <w:noProof/>
                <w:webHidden/>
              </w:rPr>
              <w:tab/>
            </w:r>
            <w:r w:rsidR="0058143B">
              <w:rPr>
                <w:noProof/>
                <w:webHidden/>
              </w:rPr>
              <w:fldChar w:fldCharType="begin"/>
            </w:r>
            <w:r w:rsidR="0058143B">
              <w:rPr>
                <w:noProof/>
                <w:webHidden/>
              </w:rPr>
              <w:instrText xml:space="preserve"> PAGEREF _Toc77686030 \h </w:instrText>
            </w:r>
            <w:r w:rsidR="0058143B">
              <w:rPr>
                <w:noProof/>
                <w:webHidden/>
              </w:rPr>
            </w:r>
            <w:r w:rsidR="0058143B">
              <w:rPr>
                <w:noProof/>
                <w:webHidden/>
              </w:rPr>
              <w:fldChar w:fldCharType="separate"/>
            </w:r>
            <w:r w:rsidR="0058143B">
              <w:rPr>
                <w:noProof/>
                <w:webHidden/>
              </w:rPr>
              <w:t>12</w:t>
            </w:r>
            <w:r w:rsidR="0058143B">
              <w:rPr>
                <w:noProof/>
                <w:webHidden/>
              </w:rPr>
              <w:fldChar w:fldCharType="end"/>
            </w:r>
          </w:hyperlink>
        </w:p>
        <w:p w14:paraId="7A7E153B" w14:textId="31A9DEE7" w:rsidR="0058143B" w:rsidRDefault="001143B4">
          <w:pPr>
            <w:pStyle w:val="TM2"/>
            <w:rPr>
              <w:rFonts w:eastAsiaTheme="minorEastAsia" w:cstheme="minorBidi"/>
              <w:noProof/>
              <w:color w:val="auto"/>
              <w:szCs w:val="22"/>
            </w:rPr>
          </w:pPr>
          <w:hyperlink w:anchor="_Toc77686031" w:history="1">
            <w:r w:rsidR="0058143B" w:rsidRPr="0002769E">
              <w:rPr>
                <w:rStyle w:val="Lienhypertexte"/>
                <w:noProof/>
              </w:rPr>
              <w:t>3.1.</w:t>
            </w:r>
            <w:r w:rsidR="0058143B">
              <w:rPr>
                <w:rFonts w:eastAsiaTheme="minorEastAsia" w:cstheme="minorBidi"/>
                <w:noProof/>
                <w:color w:val="auto"/>
                <w:szCs w:val="22"/>
              </w:rPr>
              <w:tab/>
            </w:r>
            <w:r w:rsidR="0058143B" w:rsidRPr="0002769E">
              <w:rPr>
                <w:rStyle w:val="Lienhypertexte"/>
                <w:noProof/>
              </w:rPr>
              <w:t>Dispositif de comptage et de contrôle</w:t>
            </w:r>
            <w:r w:rsidR="0058143B">
              <w:rPr>
                <w:noProof/>
                <w:webHidden/>
              </w:rPr>
              <w:tab/>
            </w:r>
            <w:r w:rsidR="0058143B">
              <w:rPr>
                <w:noProof/>
                <w:webHidden/>
              </w:rPr>
              <w:fldChar w:fldCharType="begin"/>
            </w:r>
            <w:r w:rsidR="0058143B">
              <w:rPr>
                <w:noProof/>
                <w:webHidden/>
              </w:rPr>
              <w:instrText xml:space="preserve"> PAGEREF _Toc77686031 \h </w:instrText>
            </w:r>
            <w:r w:rsidR="0058143B">
              <w:rPr>
                <w:noProof/>
                <w:webHidden/>
              </w:rPr>
            </w:r>
            <w:r w:rsidR="0058143B">
              <w:rPr>
                <w:noProof/>
                <w:webHidden/>
              </w:rPr>
              <w:fldChar w:fldCharType="separate"/>
            </w:r>
            <w:r w:rsidR="0058143B">
              <w:rPr>
                <w:noProof/>
                <w:webHidden/>
              </w:rPr>
              <w:t>12</w:t>
            </w:r>
            <w:r w:rsidR="0058143B">
              <w:rPr>
                <w:noProof/>
                <w:webHidden/>
              </w:rPr>
              <w:fldChar w:fldCharType="end"/>
            </w:r>
          </w:hyperlink>
        </w:p>
        <w:p w14:paraId="52017EEE" w14:textId="34921584" w:rsidR="0058143B" w:rsidRDefault="001143B4">
          <w:pPr>
            <w:pStyle w:val="TM3"/>
            <w:tabs>
              <w:tab w:val="left" w:pos="1701"/>
            </w:tabs>
            <w:rPr>
              <w:rFonts w:eastAsiaTheme="minorEastAsia" w:cstheme="minorBidi"/>
              <w:b w:val="0"/>
              <w:noProof/>
              <w:color w:val="auto"/>
              <w:sz w:val="22"/>
              <w:szCs w:val="22"/>
            </w:rPr>
          </w:pPr>
          <w:hyperlink w:anchor="_Toc77686032" w:history="1">
            <w:r w:rsidR="0058143B" w:rsidRPr="0002769E">
              <w:rPr>
                <w:rStyle w:val="Lienhypertexte"/>
                <w:noProof/>
              </w:rPr>
              <w:t>3.1.1.</w:t>
            </w:r>
            <w:r w:rsidR="0058143B">
              <w:rPr>
                <w:rFonts w:eastAsiaTheme="minorEastAsia" w:cstheme="minorBidi"/>
                <w:b w:val="0"/>
                <w:noProof/>
                <w:color w:val="auto"/>
                <w:sz w:val="22"/>
                <w:szCs w:val="22"/>
              </w:rPr>
              <w:tab/>
            </w:r>
            <w:r w:rsidR="0058143B" w:rsidRPr="0002769E">
              <w:rPr>
                <w:rStyle w:val="Lienhypertexte"/>
                <w:noProof/>
              </w:rPr>
              <w:t>Description des équipements du Dispositif de comptage et de contrôle</w:t>
            </w:r>
            <w:r w:rsidR="0058143B">
              <w:rPr>
                <w:noProof/>
                <w:webHidden/>
              </w:rPr>
              <w:tab/>
            </w:r>
            <w:r w:rsidR="0058143B">
              <w:rPr>
                <w:noProof/>
                <w:webHidden/>
              </w:rPr>
              <w:fldChar w:fldCharType="begin"/>
            </w:r>
            <w:r w:rsidR="0058143B">
              <w:rPr>
                <w:noProof/>
                <w:webHidden/>
              </w:rPr>
              <w:instrText xml:space="preserve"> PAGEREF _Toc77686032 \h </w:instrText>
            </w:r>
            <w:r w:rsidR="0058143B">
              <w:rPr>
                <w:noProof/>
                <w:webHidden/>
              </w:rPr>
            </w:r>
            <w:r w:rsidR="0058143B">
              <w:rPr>
                <w:noProof/>
                <w:webHidden/>
              </w:rPr>
              <w:fldChar w:fldCharType="separate"/>
            </w:r>
            <w:r w:rsidR="0058143B">
              <w:rPr>
                <w:noProof/>
                <w:webHidden/>
              </w:rPr>
              <w:t>12</w:t>
            </w:r>
            <w:r w:rsidR="0058143B">
              <w:rPr>
                <w:noProof/>
                <w:webHidden/>
              </w:rPr>
              <w:fldChar w:fldCharType="end"/>
            </w:r>
          </w:hyperlink>
        </w:p>
        <w:p w14:paraId="1E6F4C1A" w14:textId="2633F05E" w:rsidR="0058143B" w:rsidRDefault="001143B4">
          <w:pPr>
            <w:pStyle w:val="TM3"/>
            <w:tabs>
              <w:tab w:val="left" w:pos="1701"/>
            </w:tabs>
            <w:rPr>
              <w:rFonts w:eastAsiaTheme="minorEastAsia" w:cstheme="minorBidi"/>
              <w:b w:val="0"/>
              <w:noProof/>
              <w:color w:val="auto"/>
              <w:sz w:val="22"/>
              <w:szCs w:val="22"/>
            </w:rPr>
          </w:pPr>
          <w:hyperlink w:anchor="_Toc77686033" w:history="1">
            <w:r w:rsidR="0058143B" w:rsidRPr="0002769E">
              <w:rPr>
                <w:rStyle w:val="Lienhypertexte"/>
                <w:noProof/>
              </w:rPr>
              <w:t>3.1.2.</w:t>
            </w:r>
            <w:r w:rsidR="0058143B">
              <w:rPr>
                <w:rFonts w:eastAsiaTheme="minorEastAsia" w:cstheme="minorBidi"/>
                <w:b w:val="0"/>
                <w:noProof/>
                <w:color w:val="auto"/>
                <w:sz w:val="22"/>
                <w:szCs w:val="22"/>
              </w:rPr>
              <w:tab/>
            </w:r>
            <w:r w:rsidR="0058143B" w:rsidRPr="0002769E">
              <w:rPr>
                <w:rStyle w:val="Lienhypertexte"/>
                <w:noProof/>
              </w:rPr>
              <w:t>Fourniture des équipements du Dispositif de comptage</w:t>
            </w:r>
            <w:r w:rsidR="0058143B">
              <w:rPr>
                <w:noProof/>
                <w:webHidden/>
              </w:rPr>
              <w:tab/>
            </w:r>
            <w:r w:rsidR="0058143B">
              <w:rPr>
                <w:noProof/>
                <w:webHidden/>
              </w:rPr>
              <w:fldChar w:fldCharType="begin"/>
            </w:r>
            <w:r w:rsidR="0058143B">
              <w:rPr>
                <w:noProof/>
                <w:webHidden/>
              </w:rPr>
              <w:instrText xml:space="preserve"> PAGEREF _Toc77686033 \h </w:instrText>
            </w:r>
            <w:r w:rsidR="0058143B">
              <w:rPr>
                <w:noProof/>
                <w:webHidden/>
              </w:rPr>
            </w:r>
            <w:r w:rsidR="0058143B">
              <w:rPr>
                <w:noProof/>
                <w:webHidden/>
              </w:rPr>
              <w:fldChar w:fldCharType="separate"/>
            </w:r>
            <w:r w:rsidR="0058143B">
              <w:rPr>
                <w:noProof/>
                <w:webHidden/>
              </w:rPr>
              <w:t>12</w:t>
            </w:r>
            <w:r w:rsidR="0058143B">
              <w:rPr>
                <w:noProof/>
                <w:webHidden/>
              </w:rPr>
              <w:fldChar w:fldCharType="end"/>
            </w:r>
          </w:hyperlink>
        </w:p>
        <w:p w14:paraId="2EC73A8B" w14:textId="48912B09" w:rsidR="0058143B" w:rsidRDefault="001143B4">
          <w:pPr>
            <w:pStyle w:val="TM3"/>
            <w:tabs>
              <w:tab w:val="left" w:pos="1701"/>
            </w:tabs>
            <w:rPr>
              <w:rFonts w:eastAsiaTheme="minorEastAsia" w:cstheme="minorBidi"/>
              <w:b w:val="0"/>
              <w:noProof/>
              <w:color w:val="auto"/>
              <w:sz w:val="22"/>
              <w:szCs w:val="22"/>
            </w:rPr>
          </w:pPr>
          <w:hyperlink w:anchor="_Toc77686034" w:history="1">
            <w:r w:rsidR="0058143B" w:rsidRPr="0002769E">
              <w:rPr>
                <w:rStyle w:val="Lienhypertexte"/>
                <w:noProof/>
              </w:rPr>
              <w:t>3.1.3.</w:t>
            </w:r>
            <w:r w:rsidR="0058143B">
              <w:rPr>
                <w:rFonts w:eastAsiaTheme="minorEastAsia" w:cstheme="minorBidi"/>
                <w:b w:val="0"/>
                <w:noProof/>
                <w:color w:val="auto"/>
                <w:sz w:val="22"/>
                <w:szCs w:val="22"/>
              </w:rPr>
              <w:tab/>
            </w:r>
            <w:r w:rsidR="0058143B" w:rsidRPr="0002769E">
              <w:rPr>
                <w:rStyle w:val="Lienhypertexte"/>
                <w:noProof/>
              </w:rPr>
              <w:t>Pose des équipements du Dispositif de comptage</w:t>
            </w:r>
            <w:r w:rsidR="0058143B">
              <w:rPr>
                <w:noProof/>
                <w:webHidden/>
              </w:rPr>
              <w:tab/>
            </w:r>
            <w:r w:rsidR="0058143B">
              <w:rPr>
                <w:noProof/>
                <w:webHidden/>
              </w:rPr>
              <w:fldChar w:fldCharType="begin"/>
            </w:r>
            <w:r w:rsidR="0058143B">
              <w:rPr>
                <w:noProof/>
                <w:webHidden/>
              </w:rPr>
              <w:instrText xml:space="preserve"> PAGEREF _Toc77686034 \h </w:instrText>
            </w:r>
            <w:r w:rsidR="0058143B">
              <w:rPr>
                <w:noProof/>
                <w:webHidden/>
              </w:rPr>
            </w:r>
            <w:r w:rsidR="0058143B">
              <w:rPr>
                <w:noProof/>
                <w:webHidden/>
              </w:rPr>
              <w:fldChar w:fldCharType="separate"/>
            </w:r>
            <w:r w:rsidR="0058143B">
              <w:rPr>
                <w:noProof/>
                <w:webHidden/>
              </w:rPr>
              <w:t>13</w:t>
            </w:r>
            <w:r w:rsidR="0058143B">
              <w:rPr>
                <w:noProof/>
                <w:webHidden/>
              </w:rPr>
              <w:fldChar w:fldCharType="end"/>
            </w:r>
          </w:hyperlink>
        </w:p>
        <w:p w14:paraId="2C1DA9B5" w14:textId="2C59606F" w:rsidR="0058143B" w:rsidRDefault="001143B4">
          <w:pPr>
            <w:pStyle w:val="TM3"/>
            <w:tabs>
              <w:tab w:val="left" w:pos="1701"/>
            </w:tabs>
            <w:rPr>
              <w:rFonts w:eastAsiaTheme="minorEastAsia" w:cstheme="minorBidi"/>
              <w:b w:val="0"/>
              <w:noProof/>
              <w:color w:val="auto"/>
              <w:sz w:val="22"/>
              <w:szCs w:val="22"/>
            </w:rPr>
          </w:pPr>
          <w:hyperlink w:anchor="_Toc77686035" w:history="1">
            <w:r w:rsidR="0058143B" w:rsidRPr="0002769E">
              <w:rPr>
                <w:rStyle w:val="Lienhypertexte"/>
                <w:noProof/>
              </w:rPr>
              <w:t>3.1.4.</w:t>
            </w:r>
            <w:r w:rsidR="0058143B">
              <w:rPr>
                <w:rFonts w:eastAsiaTheme="minorEastAsia" w:cstheme="minorBidi"/>
                <w:b w:val="0"/>
                <w:noProof/>
                <w:color w:val="auto"/>
                <w:sz w:val="22"/>
                <w:szCs w:val="22"/>
              </w:rPr>
              <w:tab/>
            </w:r>
            <w:r w:rsidR="0058143B" w:rsidRPr="0002769E">
              <w:rPr>
                <w:rStyle w:val="Lienhypertexte"/>
                <w:noProof/>
              </w:rPr>
              <w:t>Accès au Dispositif de Comptage</w:t>
            </w:r>
            <w:r w:rsidR="0058143B">
              <w:rPr>
                <w:noProof/>
                <w:webHidden/>
              </w:rPr>
              <w:tab/>
            </w:r>
            <w:r w:rsidR="0058143B">
              <w:rPr>
                <w:noProof/>
                <w:webHidden/>
              </w:rPr>
              <w:fldChar w:fldCharType="begin"/>
            </w:r>
            <w:r w:rsidR="0058143B">
              <w:rPr>
                <w:noProof/>
                <w:webHidden/>
              </w:rPr>
              <w:instrText xml:space="preserve"> PAGEREF _Toc77686035 \h </w:instrText>
            </w:r>
            <w:r w:rsidR="0058143B">
              <w:rPr>
                <w:noProof/>
                <w:webHidden/>
              </w:rPr>
            </w:r>
            <w:r w:rsidR="0058143B">
              <w:rPr>
                <w:noProof/>
                <w:webHidden/>
              </w:rPr>
              <w:fldChar w:fldCharType="separate"/>
            </w:r>
            <w:r w:rsidR="0058143B">
              <w:rPr>
                <w:noProof/>
                <w:webHidden/>
              </w:rPr>
              <w:t>13</w:t>
            </w:r>
            <w:r w:rsidR="0058143B">
              <w:rPr>
                <w:noProof/>
                <w:webHidden/>
              </w:rPr>
              <w:fldChar w:fldCharType="end"/>
            </w:r>
          </w:hyperlink>
        </w:p>
        <w:p w14:paraId="09045BF9" w14:textId="54771B88" w:rsidR="0058143B" w:rsidRDefault="001143B4">
          <w:pPr>
            <w:pStyle w:val="TM3"/>
            <w:tabs>
              <w:tab w:val="left" w:pos="1701"/>
            </w:tabs>
            <w:rPr>
              <w:rFonts w:eastAsiaTheme="minorEastAsia" w:cstheme="minorBidi"/>
              <w:b w:val="0"/>
              <w:noProof/>
              <w:color w:val="auto"/>
              <w:sz w:val="22"/>
              <w:szCs w:val="22"/>
            </w:rPr>
          </w:pPr>
          <w:hyperlink w:anchor="_Toc77686036" w:history="1">
            <w:r w:rsidR="0058143B" w:rsidRPr="0002769E">
              <w:rPr>
                <w:rStyle w:val="Lienhypertexte"/>
                <w:noProof/>
              </w:rPr>
              <w:t>3.1.5.</w:t>
            </w:r>
            <w:r w:rsidR="0058143B">
              <w:rPr>
                <w:rFonts w:eastAsiaTheme="minorEastAsia" w:cstheme="minorBidi"/>
                <w:b w:val="0"/>
                <w:noProof/>
                <w:color w:val="auto"/>
                <w:sz w:val="22"/>
                <w:szCs w:val="22"/>
              </w:rPr>
              <w:tab/>
            </w:r>
            <w:r w:rsidR="0058143B" w:rsidRPr="0002769E">
              <w:rPr>
                <w:rStyle w:val="Lienhypertexte"/>
                <w:noProof/>
              </w:rPr>
              <w:t>Contrôle et vérification métrologique des équipements du Dispositif de comptage</w:t>
            </w:r>
            <w:r w:rsidR="0058143B">
              <w:rPr>
                <w:noProof/>
                <w:webHidden/>
              </w:rPr>
              <w:tab/>
            </w:r>
            <w:r w:rsidR="0058143B">
              <w:rPr>
                <w:noProof/>
                <w:webHidden/>
              </w:rPr>
              <w:fldChar w:fldCharType="begin"/>
            </w:r>
            <w:r w:rsidR="0058143B">
              <w:rPr>
                <w:noProof/>
                <w:webHidden/>
              </w:rPr>
              <w:instrText xml:space="preserve"> PAGEREF _Toc77686036 \h </w:instrText>
            </w:r>
            <w:r w:rsidR="0058143B">
              <w:rPr>
                <w:noProof/>
                <w:webHidden/>
              </w:rPr>
            </w:r>
            <w:r w:rsidR="0058143B">
              <w:rPr>
                <w:noProof/>
                <w:webHidden/>
              </w:rPr>
              <w:fldChar w:fldCharType="separate"/>
            </w:r>
            <w:r w:rsidR="0058143B">
              <w:rPr>
                <w:noProof/>
                <w:webHidden/>
              </w:rPr>
              <w:t>13</w:t>
            </w:r>
            <w:r w:rsidR="0058143B">
              <w:rPr>
                <w:noProof/>
                <w:webHidden/>
              </w:rPr>
              <w:fldChar w:fldCharType="end"/>
            </w:r>
          </w:hyperlink>
        </w:p>
        <w:p w14:paraId="0749236C" w14:textId="46613DEB" w:rsidR="0058143B" w:rsidRDefault="001143B4">
          <w:pPr>
            <w:pStyle w:val="TM3"/>
            <w:tabs>
              <w:tab w:val="left" w:pos="1701"/>
            </w:tabs>
            <w:rPr>
              <w:rFonts w:eastAsiaTheme="minorEastAsia" w:cstheme="minorBidi"/>
              <w:b w:val="0"/>
              <w:noProof/>
              <w:color w:val="auto"/>
              <w:sz w:val="22"/>
              <w:szCs w:val="22"/>
            </w:rPr>
          </w:pPr>
          <w:hyperlink w:anchor="_Toc77686037" w:history="1">
            <w:r w:rsidR="0058143B" w:rsidRPr="0002769E">
              <w:rPr>
                <w:rStyle w:val="Lienhypertexte"/>
                <w:noProof/>
              </w:rPr>
              <w:t>3.1.6.</w:t>
            </w:r>
            <w:r w:rsidR="0058143B">
              <w:rPr>
                <w:rFonts w:eastAsiaTheme="minorEastAsia" w:cstheme="minorBidi"/>
                <w:b w:val="0"/>
                <w:noProof/>
                <w:color w:val="auto"/>
                <w:sz w:val="22"/>
                <w:szCs w:val="22"/>
              </w:rPr>
              <w:tab/>
            </w:r>
            <w:r w:rsidR="0058143B" w:rsidRPr="0002769E">
              <w:rPr>
                <w:rStyle w:val="Lienhypertexte"/>
                <w:noProof/>
              </w:rPr>
              <w:t>Entretien et renouvellement des équipements du Dispositif de comptage</w:t>
            </w:r>
            <w:r w:rsidR="0058143B">
              <w:rPr>
                <w:noProof/>
                <w:webHidden/>
              </w:rPr>
              <w:tab/>
            </w:r>
            <w:r w:rsidR="0058143B">
              <w:rPr>
                <w:noProof/>
                <w:webHidden/>
              </w:rPr>
              <w:fldChar w:fldCharType="begin"/>
            </w:r>
            <w:r w:rsidR="0058143B">
              <w:rPr>
                <w:noProof/>
                <w:webHidden/>
              </w:rPr>
              <w:instrText xml:space="preserve"> PAGEREF _Toc77686037 \h </w:instrText>
            </w:r>
            <w:r w:rsidR="0058143B">
              <w:rPr>
                <w:noProof/>
                <w:webHidden/>
              </w:rPr>
            </w:r>
            <w:r w:rsidR="0058143B">
              <w:rPr>
                <w:noProof/>
                <w:webHidden/>
              </w:rPr>
              <w:fldChar w:fldCharType="separate"/>
            </w:r>
            <w:r w:rsidR="0058143B">
              <w:rPr>
                <w:noProof/>
                <w:webHidden/>
              </w:rPr>
              <w:t>13</w:t>
            </w:r>
            <w:r w:rsidR="0058143B">
              <w:rPr>
                <w:noProof/>
                <w:webHidden/>
              </w:rPr>
              <w:fldChar w:fldCharType="end"/>
            </w:r>
          </w:hyperlink>
        </w:p>
        <w:p w14:paraId="1BE0900C" w14:textId="0152ED01" w:rsidR="0058143B" w:rsidRDefault="001143B4">
          <w:pPr>
            <w:pStyle w:val="TM3"/>
            <w:tabs>
              <w:tab w:val="left" w:pos="1701"/>
            </w:tabs>
            <w:rPr>
              <w:rFonts w:eastAsiaTheme="minorEastAsia" w:cstheme="minorBidi"/>
              <w:b w:val="0"/>
              <w:noProof/>
              <w:color w:val="auto"/>
              <w:sz w:val="22"/>
              <w:szCs w:val="22"/>
            </w:rPr>
          </w:pPr>
          <w:hyperlink w:anchor="_Toc77686038" w:history="1">
            <w:r w:rsidR="0058143B" w:rsidRPr="0002769E">
              <w:rPr>
                <w:rStyle w:val="Lienhypertexte"/>
                <w:noProof/>
              </w:rPr>
              <w:t>3.1.7.</w:t>
            </w:r>
            <w:r w:rsidR="0058143B">
              <w:rPr>
                <w:rFonts w:eastAsiaTheme="minorEastAsia" w:cstheme="minorBidi"/>
                <w:b w:val="0"/>
                <w:noProof/>
                <w:color w:val="auto"/>
                <w:sz w:val="22"/>
                <w:szCs w:val="22"/>
              </w:rPr>
              <w:tab/>
            </w:r>
            <w:r w:rsidR="0058143B" w:rsidRPr="0002769E">
              <w:rPr>
                <w:rStyle w:val="Lienhypertexte"/>
                <w:noProof/>
              </w:rPr>
              <w:t>Modification des équipements du Dispositif de comptage</w:t>
            </w:r>
            <w:r w:rsidR="0058143B">
              <w:rPr>
                <w:noProof/>
                <w:webHidden/>
              </w:rPr>
              <w:tab/>
            </w:r>
            <w:r w:rsidR="0058143B">
              <w:rPr>
                <w:noProof/>
                <w:webHidden/>
              </w:rPr>
              <w:fldChar w:fldCharType="begin"/>
            </w:r>
            <w:r w:rsidR="0058143B">
              <w:rPr>
                <w:noProof/>
                <w:webHidden/>
              </w:rPr>
              <w:instrText xml:space="preserve"> PAGEREF _Toc77686038 \h </w:instrText>
            </w:r>
            <w:r w:rsidR="0058143B">
              <w:rPr>
                <w:noProof/>
                <w:webHidden/>
              </w:rPr>
            </w:r>
            <w:r w:rsidR="0058143B">
              <w:rPr>
                <w:noProof/>
                <w:webHidden/>
              </w:rPr>
              <w:fldChar w:fldCharType="separate"/>
            </w:r>
            <w:r w:rsidR="0058143B">
              <w:rPr>
                <w:noProof/>
                <w:webHidden/>
              </w:rPr>
              <w:t>13</w:t>
            </w:r>
            <w:r w:rsidR="0058143B">
              <w:rPr>
                <w:noProof/>
                <w:webHidden/>
              </w:rPr>
              <w:fldChar w:fldCharType="end"/>
            </w:r>
          </w:hyperlink>
        </w:p>
        <w:p w14:paraId="1102DD7A" w14:textId="7E3A01CE" w:rsidR="0058143B" w:rsidRDefault="001143B4">
          <w:pPr>
            <w:pStyle w:val="TM3"/>
            <w:tabs>
              <w:tab w:val="left" w:pos="1701"/>
            </w:tabs>
            <w:rPr>
              <w:rFonts w:eastAsiaTheme="minorEastAsia" w:cstheme="minorBidi"/>
              <w:b w:val="0"/>
              <w:noProof/>
              <w:color w:val="auto"/>
              <w:sz w:val="22"/>
              <w:szCs w:val="22"/>
            </w:rPr>
          </w:pPr>
          <w:hyperlink w:anchor="_Toc77686039" w:history="1">
            <w:r w:rsidR="0058143B" w:rsidRPr="0002769E">
              <w:rPr>
                <w:rStyle w:val="Lienhypertexte"/>
                <w:noProof/>
              </w:rPr>
              <w:t>3.1.8.</w:t>
            </w:r>
            <w:r w:rsidR="0058143B">
              <w:rPr>
                <w:rFonts w:eastAsiaTheme="minorEastAsia" w:cstheme="minorBidi"/>
                <w:b w:val="0"/>
                <w:noProof/>
                <w:color w:val="auto"/>
                <w:sz w:val="22"/>
                <w:szCs w:val="22"/>
              </w:rPr>
              <w:tab/>
            </w:r>
            <w:r w:rsidR="0058143B" w:rsidRPr="0002769E">
              <w:rPr>
                <w:rStyle w:val="Lienhypertexte"/>
                <w:noProof/>
              </w:rPr>
              <w:t>Respect du Dispositif de comptage</w:t>
            </w:r>
            <w:r w:rsidR="0058143B">
              <w:rPr>
                <w:noProof/>
                <w:webHidden/>
              </w:rPr>
              <w:tab/>
            </w:r>
            <w:r w:rsidR="0058143B">
              <w:rPr>
                <w:noProof/>
                <w:webHidden/>
              </w:rPr>
              <w:fldChar w:fldCharType="begin"/>
            </w:r>
            <w:r w:rsidR="0058143B">
              <w:rPr>
                <w:noProof/>
                <w:webHidden/>
              </w:rPr>
              <w:instrText xml:space="preserve"> PAGEREF _Toc77686039 \h </w:instrText>
            </w:r>
            <w:r w:rsidR="0058143B">
              <w:rPr>
                <w:noProof/>
                <w:webHidden/>
              </w:rPr>
            </w:r>
            <w:r w:rsidR="0058143B">
              <w:rPr>
                <w:noProof/>
                <w:webHidden/>
              </w:rPr>
              <w:fldChar w:fldCharType="separate"/>
            </w:r>
            <w:r w:rsidR="0058143B">
              <w:rPr>
                <w:noProof/>
                <w:webHidden/>
              </w:rPr>
              <w:t>14</w:t>
            </w:r>
            <w:r w:rsidR="0058143B">
              <w:rPr>
                <w:noProof/>
                <w:webHidden/>
              </w:rPr>
              <w:fldChar w:fldCharType="end"/>
            </w:r>
          </w:hyperlink>
        </w:p>
        <w:p w14:paraId="35F73EE1" w14:textId="4FFBD26F" w:rsidR="0058143B" w:rsidRDefault="001143B4">
          <w:pPr>
            <w:pStyle w:val="TM3"/>
            <w:tabs>
              <w:tab w:val="left" w:pos="1701"/>
            </w:tabs>
            <w:rPr>
              <w:rFonts w:eastAsiaTheme="minorEastAsia" w:cstheme="minorBidi"/>
              <w:b w:val="0"/>
              <w:noProof/>
              <w:color w:val="auto"/>
              <w:sz w:val="22"/>
              <w:szCs w:val="22"/>
            </w:rPr>
          </w:pPr>
          <w:hyperlink w:anchor="_Toc77686040" w:history="1">
            <w:r w:rsidR="0058143B" w:rsidRPr="0002769E">
              <w:rPr>
                <w:rStyle w:val="Lienhypertexte"/>
                <w:noProof/>
              </w:rPr>
              <w:t>3.1.9.</w:t>
            </w:r>
            <w:r w:rsidR="0058143B">
              <w:rPr>
                <w:rFonts w:eastAsiaTheme="minorEastAsia" w:cstheme="minorBidi"/>
                <w:b w:val="0"/>
                <w:noProof/>
                <w:color w:val="auto"/>
                <w:sz w:val="22"/>
                <w:szCs w:val="22"/>
              </w:rPr>
              <w:tab/>
            </w:r>
            <w:r w:rsidR="0058143B" w:rsidRPr="0002769E">
              <w:rPr>
                <w:rStyle w:val="Lienhypertexte"/>
                <w:noProof/>
              </w:rPr>
              <w:t>Dysfonctionnement des appareils du Dispositif de comptage</w:t>
            </w:r>
            <w:r w:rsidR="0058143B">
              <w:rPr>
                <w:noProof/>
                <w:webHidden/>
              </w:rPr>
              <w:tab/>
            </w:r>
            <w:r w:rsidR="0058143B">
              <w:rPr>
                <w:noProof/>
                <w:webHidden/>
              </w:rPr>
              <w:fldChar w:fldCharType="begin"/>
            </w:r>
            <w:r w:rsidR="0058143B">
              <w:rPr>
                <w:noProof/>
                <w:webHidden/>
              </w:rPr>
              <w:instrText xml:space="preserve"> PAGEREF _Toc77686040 \h </w:instrText>
            </w:r>
            <w:r w:rsidR="0058143B">
              <w:rPr>
                <w:noProof/>
                <w:webHidden/>
              </w:rPr>
            </w:r>
            <w:r w:rsidR="0058143B">
              <w:rPr>
                <w:noProof/>
                <w:webHidden/>
              </w:rPr>
              <w:fldChar w:fldCharType="separate"/>
            </w:r>
            <w:r w:rsidR="0058143B">
              <w:rPr>
                <w:noProof/>
                <w:webHidden/>
              </w:rPr>
              <w:t>14</w:t>
            </w:r>
            <w:r w:rsidR="0058143B">
              <w:rPr>
                <w:noProof/>
                <w:webHidden/>
              </w:rPr>
              <w:fldChar w:fldCharType="end"/>
            </w:r>
          </w:hyperlink>
        </w:p>
        <w:p w14:paraId="693401FF" w14:textId="706AA4BB" w:rsidR="0058143B" w:rsidRDefault="001143B4">
          <w:pPr>
            <w:pStyle w:val="TM2"/>
            <w:rPr>
              <w:rFonts w:eastAsiaTheme="minorEastAsia" w:cstheme="minorBidi"/>
              <w:noProof/>
              <w:color w:val="auto"/>
              <w:szCs w:val="22"/>
            </w:rPr>
          </w:pPr>
          <w:hyperlink w:anchor="_Toc77686041" w:history="1">
            <w:r w:rsidR="0058143B" w:rsidRPr="0002769E">
              <w:rPr>
                <w:rStyle w:val="Lienhypertexte"/>
                <w:noProof/>
              </w:rPr>
              <w:t>3.2.</w:t>
            </w:r>
            <w:r w:rsidR="0058143B">
              <w:rPr>
                <w:rFonts w:eastAsiaTheme="minorEastAsia" w:cstheme="minorBidi"/>
                <w:noProof/>
                <w:color w:val="auto"/>
                <w:szCs w:val="22"/>
              </w:rPr>
              <w:tab/>
            </w:r>
            <w:r w:rsidR="0058143B" w:rsidRPr="0002769E">
              <w:rPr>
                <w:rStyle w:val="Lienhypertexte"/>
                <w:noProof/>
              </w:rPr>
              <w:t>Définition et utilisation des données de comptage</w:t>
            </w:r>
            <w:r w:rsidR="0058143B">
              <w:rPr>
                <w:noProof/>
                <w:webHidden/>
              </w:rPr>
              <w:tab/>
            </w:r>
            <w:r w:rsidR="0058143B">
              <w:rPr>
                <w:noProof/>
                <w:webHidden/>
              </w:rPr>
              <w:fldChar w:fldCharType="begin"/>
            </w:r>
            <w:r w:rsidR="0058143B">
              <w:rPr>
                <w:noProof/>
                <w:webHidden/>
              </w:rPr>
              <w:instrText xml:space="preserve"> PAGEREF _Toc77686041 \h </w:instrText>
            </w:r>
            <w:r w:rsidR="0058143B">
              <w:rPr>
                <w:noProof/>
                <w:webHidden/>
              </w:rPr>
            </w:r>
            <w:r w:rsidR="0058143B">
              <w:rPr>
                <w:noProof/>
                <w:webHidden/>
              </w:rPr>
              <w:fldChar w:fldCharType="separate"/>
            </w:r>
            <w:r w:rsidR="0058143B">
              <w:rPr>
                <w:noProof/>
                <w:webHidden/>
              </w:rPr>
              <w:t>14</w:t>
            </w:r>
            <w:r w:rsidR="0058143B">
              <w:rPr>
                <w:noProof/>
                <w:webHidden/>
              </w:rPr>
              <w:fldChar w:fldCharType="end"/>
            </w:r>
          </w:hyperlink>
        </w:p>
        <w:p w14:paraId="0B3D7FB0" w14:textId="3077E269" w:rsidR="0058143B" w:rsidRDefault="001143B4">
          <w:pPr>
            <w:pStyle w:val="TM3"/>
            <w:tabs>
              <w:tab w:val="left" w:pos="1701"/>
            </w:tabs>
            <w:rPr>
              <w:rFonts w:eastAsiaTheme="minorEastAsia" w:cstheme="minorBidi"/>
              <w:b w:val="0"/>
              <w:noProof/>
              <w:color w:val="auto"/>
              <w:sz w:val="22"/>
              <w:szCs w:val="22"/>
            </w:rPr>
          </w:pPr>
          <w:hyperlink w:anchor="_Toc77686042" w:history="1">
            <w:r w:rsidR="0058143B" w:rsidRPr="0002769E">
              <w:rPr>
                <w:rStyle w:val="Lienhypertexte"/>
                <w:noProof/>
              </w:rPr>
              <w:t>3.2.1.</w:t>
            </w:r>
            <w:r w:rsidR="0058143B">
              <w:rPr>
                <w:rFonts w:eastAsiaTheme="minorEastAsia" w:cstheme="minorBidi"/>
                <w:b w:val="0"/>
                <w:noProof/>
                <w:color w:val="auto"/>
                <w:sz w:val="22"/>
                <w:szCs w:val="22"/>
              </w:rPr>
              <w:tab/>
            </w:r>
            <w:r w:rsidR="0058143B" w:rsidRPr="0002769E">
              <w:rPr>
                <w:rStyle w:val="Lienhypertexte"/>
                <w:noProof/>
              </w:rPr>
              <w:t>Données de comptage</w:t>
            </w:r>
            <w:r w:rsidR="0058143B">
              <w:rPr>
                <w:noProof/>
                <w:webHidden/>
              </w:rPr>
              <w:tab/>
            </w:r>
            <w:r w:rsidR="0058143B">
              <w:rPr>
                <w:noProof/>
                <w:webHidden/>
              </w:rPr>
              <w:fldChar w:fldCharType="begin"/>
            </w:r>
            <w:r w:rsidR="0058143B">
              <w:rPr>
                <w:noProof/>
                <w:webHidden/>
              </w:rPr>
              <w:instrText xml:space="preserve"> PAGEREF _Toc77686042 \h </w:instrText>
            </w:r>
            <w:r w:rsidR="0058143B">
              <w:rPr>
                <w:noProof/>
                <w:webHidden/>
              </w:rPr>
            </w:r>
            <w:r w:rsidR="0058143B">
              <w:rPr>
                <w:noProof/>
                <w:webHidden/>
              </w:rPr>
              <w:fldChar w:fldCharType="separate"/>
            </w:r>
            <w:r w:rsidR="0058143B">
              <w:rPr>
                <w:noProof/>
                <w:webHidden/>
              </w:rPr>
              <w:t>14</w:t>
            </w:r>
            <w:r w:rsidR="0058143B">
              <w:rPr>
                <w:noProof/>
                <w:webHidden/>
              </w:rPr>
              <w:fldChar w:fldCharType="end"/>
            </w:r>
          </w:hyperlink>
        </w:p>
        <w:p w14:paraId="51583391" w14:textId="3969F7B8" w:rsidR="0058143B" w:rsidRDefault="001143B4">
          <w:pPr>
            <w:pStyle w:val="TM3"/>
            <w:tabs>
              <w:tab w:val="left" w:pos="1701"/>
            </w:tabs>
            <w:rPr>
              <w:rFonts w:eastAsiaTheme="minorEastAsia" w:cstheme="minorBidi"/>
              <w:b w:val="0"/>
              <w:noProof/>
              <w:color w:val="auto"/>
              <w:sz w:val="22"/>
              <w:szCs w:val="22"/>
            </w:rPr>
          </w:pPr>
          <w:hyperlink w:anchor="_Toc77686043" w:history="1">
            <w:r w:rsidR="0058143B" w:rsidRPr="0002769E">
              <w:rPr>
                <w:rStyle w:val="Lienhypertexte"/>
                <w:noProof/>
              </w:rPr>
              <w:t>3.2.2.</w:t>
            </w:r>
            <w:r w:rsidR="0058143B">
              <w:rPr>
                <w:rFonts w:eastAsiaTheme="minorEastAsia" w:cstheme="minorBidi"/>
                <w:b w:val="0"/>
                <w:noProof/>
                <w:color w:val="auto"/>
                <w:sz w:val="22"/>
                <w:szCs w:val="22"/>
              </w:rPr>
              <w:tab/>
            </w:r>
            <w:r w:rsidR="0058143B" w:rsidRPr="0002769E">
              <w:rPr>
                <w:rStyle w:val="Lienhypertexte"/>
                <w:noProof/>
              </w:rPr>
              <w:t>Prestations de comptage de base</w:t>
            </w:r>
            <w:r w:rsidR="0058143B">
              <w:rPr>
                <w:noProof/>
                <w:webHidden/>
              </w:rPr>
              <w:tab/>
            </w:r>
            <w:r w:rsidR="0058143B">
              <w:rPr>
                <w:noProof/>
                <w:webHidden/>
              </w:rPr>
              <w:fldChar w:fldCharType="begin"/>
            </w:r>
            <w:r w:rsidR="0058143B">
              <w:rPr>
                <w:noProof/>
                <w:webHidden/>
              </w:rPr>
              <w:instrText xml:space="preserve"> PAGEREF _Toc77686043 \h </w:instrText>
            </w:r>
            <w:r w:rsidR="0058143B">
              <w:rPr>
                <w:noProof/>
                <w:webHidden/>
              </w:rPr>
            </w:r>
            <w:r w:rsidR="0058143B">
              <w:rPr>
                <w:noProof/>
                <w:webHidden/>
              </w:rPr>
              <w:fldChar w:fldCharType="separate"/>
            </w:r>
            <w:r w:rsidR="0058143B">
              <w:rPr>
                <w:noProof/>
                <w:webHidden/>
              </w:rPr>
              <w:t>15</w:t>
            </w:r>
            <w:r w:rsidR="0058143B">
              <w:rPr>
                <w:noProof/>
                <w:webHidden/>
              </w:rPr>
              <w:fldChar w:fldCharType="end"/>
            </w:r>
          </w:hyperlink>
        </w:p>
        <w:p w14:paraId="3FBF1718" w14:textId="636E2CC9" w:rsidR="0058143B" w:rsidRDefault="001143B4">
          <w:pPr>
            <w:pStyle w:val="TM3"/>
            <w:tabs>
              <w:tab w:val="left" w:pos="1701"/>
            </w:tabs>
            <w:rPr>
              <w:rFonts w:eastAsiaTheme="minorEastAsia" w:cstheme="minorBidi"/>
              <w:b w:val="0"/>
              <w:noProof/>
              <w:color w:val="auto"/>
              <w:sz w:val="22"/>
              <w:szCs w:val="22"/>
            </w:rPr>
          </w:pPr>
          <w:hyperlink w:anchor="_Toc77686044" w:history="1">
            <w:r w:rsidR="0058143B" w:rsidRPr="0002769E">
              <w:rPr>
                <w:rStyle w:val="Lienhypertexte"/>
                <w:noProof/>
              </w:rPr>
              <w:t>3.2.3.</w:t>
            </w:r>
            <w:r w:rsidR="0058143B">
              <w:rPr>
                <w:rFonts w:eastAsiaTheme="minorEastAsia" w:cstheme="minorBidi"/>
                <w:b w:val="0"/>
                <w:noProof/>
                <w:color w:val="auto"/>
                <w:sz w:val="22"/>
                <w:szCs w:val="22"/>
              </w:rPr>
              <w:tab/>
            </w:r>
            <w:r w:rsidR="0058143B" w:rsidRPr="0002769E">
              <w:rPr>
                <w:rStyle w:val="Lienhypertexte"/>
                <w:noProof/>
              </w:rPr>
              <w:t>Prestations de comptage complémentaires</w:t>
            </w:r>
            <w:r w:rsidR="0058143B">
              <w:rPr>
                <w:noProof/>
                <w:webHidden/>
              </w:rPr>
              <w:tab/>
            </w:r>
            <w:r w:rsidR="0058143B">
              <w:rPr>
                <w:noProof/>
                <w:webHidden/>
              </w:rPr>
              <w:fldChar w:fldCharType="begin"/>
            </w:r>
            <w:r w:rsidR="0058143B">
              <w:rPr>
                <w:noProof/>
                <w:webHidden/>
              </w:rPr>
              <w:instrText xml:space="preserve"> PAGEREF _Toc77686044 \h </w:instrText>
            </w:r>
            <w:r w:rsidR="0058143B">
              <w:rPr>
                <w:noProof/>
                <w:webHidden/>
              </w:rPr>
            </w:r>
            <w:r w:rsidR="0058143B">
              <w:rPr>
                <w:noProof/>
                <w:webHidden/>
              </w:rPr>
              <w:fldChar w:fldCharType="separate"/>
            </w:r>
            <w:r w:rsidR="0058143B">
              <w:rPr>
                <w:noProof/>
                <w:webHidden/>
              </w:rPr>
              <w:t>15</w:t>
            </w:r>
            <w:r w:rsidR="0058143B">
              <w:rPr>
                <w:noProof/>
                <w:webHidden/>
              </w:rPr>
              <w:fldChar w:fldCharType="end"/>
            </w:r>
          </w:hyperlink>
        </w:p>
        <w:p w14:paraId="20E5D042" w14:textId="428CF324" w:rsidR="0058143B" w:rsidRDefault="001143B4">
          <w:pPr>
            <w:pStyle w:val="TM3"/>
            <w:tabs>
              <w:tab w:val="left" w:pos="1701"/>
            </w:tabs>
            <w:rPr>
              <w:rFonts w:eastAsiaTheme="minorEastAsia" w:cstheme="minorBidi"/>
              <w:b w:val="0"/>
              <w:noProof/>
              <w:color w:val="auto"/>
              <w:sz w:val="22"/>
              <w:szCs w:val="22"/>
            </w:rPr>
          </w:pPr>
          <w:hyperlink w:anchor="_Toc77686045" w:history="1">
            <w:r w:rsidR="0058143B" w:rsidRPr="0002769E">
              <w:rPr>
                <w:rStyle w:val="Lienhypertexte"/>
                <w:noProof/>
              </w:rPr>
              <w:t>3.2.4.</w:t>
            </w:r>
            <w:r w:rsidR="0058143B">
              <w:rPr>
                <w:rFonts w:eastAsiaTheme="minorEastAsia" w:cstheme="minorBidi"/>
                <w:b w:val="0"/>
                <w:noProof/>
                <w:color w:val="auto"/>
                <w:sz w:val="22"/>
                <w:szCs w:val="22"/>
              </w:rPr>
              <w:tab/>
            </w:r>
            <w:r w:rsidR="0058143B" w:rsidRPr="0002769E">
              <w:rPr>
                <w:rStyle w:val="Lienhypertexte"/>
                <w:noProof/>
              </w:rPr>
              <w:t>Modalités de correction en cas de défaillance du Dispositif de comptage ou de fraude</w:t>
            </w:r>
            <w:r w:rsidR="0058143B">
              <w:rPr>
                <w:noProof/>
                <w:webHidden/>
              </w:rPr>
              <w:tab/>
            </w:r>
            <w:r w:rsidR="0058143B">
              <w:rPr>
                <w:noProof/>
                <w:webHidden/>
              </w:rPr>
              <w:fldChar w:fldCharType="begin"/>
            </w:r>
            <w:r w:rsidR="0058143B">
              <w:rPr>
                <w:noProof/>
                <w:webHidden/>
              </w:rPr>
              <w:instrText xml:space="preserve"> PAGEREF _Toc77686045 \h </w:instrText>
            </w:r>
            <w:r w:rsidR="0058143B">
              <w:rPr>
                <w:noProof/>
                <w:webHidden/>
              </w:rPr>
            </w:r>
            <w:r w:rsidR="0058143B">
              <w:rPr>
                <w:noProof/>
                <w:webHidden/>
              </w:rPr>
              <w:fldChar w:fldCharType="separate"/>
            </w:r>
            <w:r w:rsidR="0058143B">
              <w:rPr>
                <w:noProof/>
                <w:webHidden/>
              </w:rPr>
              <w:t>15</w:t>
            </w:r>
            <w:r w:rsidR="0058143B">
              <w:rPr>
                <w:noProof/>
                <w:webHidden/>
              </w:rPr>
              <w:fldChar w:fldCharType="end"/>
            </w:r>
          </w:hyperlink>
        </w:p>
        <w:p w14:paraId="2B7333F8" w14:textId="4E3F5571" w:rsidR="0058143B" w:rsidRDefault="001143B4">
          <w:pPr>
            <w:pStyle w:val="TM3"/>
            <w:tabs>
              <w:tab w:val="left" w:pos="1701"/>
            </w:tabs>
            <w:rPr>
              <w:rFonts w:eastAsiaTheme="minorEastAsia" w:cstheme="minorBidi"/>
              <w:b w:val="0"/>
              <w:noProof/>
              <w:color w:val="auto"/>
              <w:sz w:val="22"/>
              <w:szCs w:val="22"/>
            </w:rPr>
          </w:pPr>
          <w:hyperlink w:anchor="_Toc77686046" w:history="1">
            <w:r w:rsidR="0058143B" w:rsidRPr="0002769E">
              <w:rPr>
                <w:rStyle w:val="Lienhypertexte"/>
                <w:noProof/>
              </w:rPr>
              <w:t>3.2.5.</w:t>
            </w:r>
            <w:r w:rsidR="0058143B">
              <w:rPr>
                <w:rFonts w:eastAsiaTheme="minorEastAsia" w:cstheme="minorBidi"/>
                <w:b w:val="0"/>
                <w:noProof/>
                <w:color w:val="auto"/>
                <w:sz w:val="22"/>
                <w:szCs w:val="22"/>
              </w:rPr>
              <w:tab/>
            </w:r>
            <w:r w:rsidR="0058143B" w:rsidRPr="0002769E">
              <w:rPr>
                <w:rStyle w:val="Lienhypertexte"/>
                <w:noProof/>
              </w:rPr>
              <w:t>Contestation des données issues du Dispositif de comptage</w:t>
            </w:r>
            <w:r w:rsidR="0058143B">
              <w:rPr>
                <w:noProof/>
                <w:webHidden/>
              </w:rPr>
              <w:tab/>
            </w:r>
            <w:r w:rsidR="0058143B">
              <w:rPr>
                <w:noProof/>
                <w:webHidden/>
              </w:rPr>
              <w:fldChar w:fldCharType="begin"/>
            </w:r>
            <w:r w:rsidR="0058143B">
              <w:rPr>
                <w:noProof/>
                <w:webHidden/>
              </w:rPr>
              <w:instrText xml:space="preserve"> PAGEREF _Toc77686046 \h </w:instrText>
            </w:r>
            <w:r w:rsidR="0058143B">
              <w:rPr>
                <w:noProof/>
                <w:webHidden/>
              </w:rPr>
            </w:r>
            <w:r w:rsidR="0058143B">
              <w:rPr>
                <w:noProof/>
                <w:webHidden/>
              </w:rPr>
              <w:fldChar w:fldCharType="separate"/>
            </w:r>
            <w:r w:rsidR="0058143B">
              <w:rPr>
                <w:noProof/>
                <w:webHidden/>
              </w:rPr>
              <w:t>15</w:t>
            </w:r>
            <w:r w:rsidR="0058143B">
              <w:rPr>
                <w:noProof/>
                <w:webHidden/>
              </w:rPr>
              <w:fldChar w:fldCharType="end"/>
            </w:r>
          </w:hyperlink>
        </w:p>
        <w:p w14:paraId="7D9D6936" w14:textId="064FA696" w:rsidR="0058143B" w:rsidRDefault="001143B4">
          <w:pPr>
            <w:pStyle w:val="TM2"/>
            <w:rPr>
              <w:rFonts w:eastAsiaTheme="minorEastAsia" w:cstheme="minorBidi"/>
              <w:noProof/>
              <w:color w:val="auto"/>
              <w:szCs w:val="22"/>
            </w:rPr>
          </w:pPr>
          <w:hyperlink w:anchor="_Toc77686047" w:history="1">
            <w:r w:rsidR="0058143B" w:rsidRPr="0002769E">
              <w:rPr>
                <w:rStyle w:val="Lienhypertexte"/>
                <w:noProof/>
              </w:rPr>
              <w:t>3.3.</w:t>
            </w:r>
            <w:r w:rsidR="0058143B">
              <w:rPr>
                <w:rFonts w:eastAsiaTheme="minorEastAsia" w:cstheme="minorBidi"/>
                <w:noProof/>
                <w:color w:val="auto"/>
                <w:szCs w:val="22"/>
              </w:rPr>
              <w:tab/>
            </w:r>
            <w:r w:rsidR="0058143B" w:rsidRPr="0002769E">
              <w:rPr>
                <w:rStyle w:val="Lienhypertexte"/>
                <w:noProof/>
              </w:rPr>
              <w:t>Accès aux données de comptage</w:t>
            </w:r>
            <w:r w:rsidR="0058143B">
              <w:rPr>
                <w:noProof/>
                <w:webHidden/>
              </w:rPr>
              <w:tab/>
            </w:r>
            <w:r w:rsidR="0058143B">
              <w:rPr>
                <w:noProof/>
                <w:webHidden/>
              </w:rPr>
              <w:fldChar w:fldCharType="begin"/>
            </w:r>
            <w:r w:rsidR="0058143B">
              <w:rPr>
                <w:noProof/>
                <w:webHidden/>
              </w:rPr>
              <w:instrText xml:space="preserve"> PAGEREF _Toc77686047 \h </w:instrText>
            </w:r>
            <w:r w:rsidR="0058143B">
              <w:rPr>
                <w:noProof/>
                <w:webHidden/>
              </w:rPr>
            </w:r>
            <w:r w:rsidR="0058143B">
              <w:rPr>
                <w:noProof/>
                <w:webHidden/>
              </w:rPr>
              <w:fldChar w:fldCharType="separate"/>
            </w:r>
            <w:r w:rsidR="0058143B">
              <w:rPr>
                <w:noProof/>
                <w:webHidden/>
              </w:rPr>
              <w:t>15</w:t>
            </w:r>
            <w:r w:rsidR="0058143B">
              <w:rPr>
                <w:noProof/>
                <w:webHidden/>
              </w:rPr>
              <w:fldChar w:fldCharType="end"/>
            </w:r>
          </w:hyperlink>
        </w:p>
        <w:p w14:paraId="1ADA3EB2" w14:textId="70FC137B" w:rsidR="0058143B" w:rsidRDefault="001143B4">
          <w:pPr>
            <w:pStyle w:val="TM2"/>
            <w:rPr>
              <w:rFonts w:eastAsiaTheme="minorEastAsia" w:cstheme="minorBidi"/>
              <w:noProof/>
              <w:color w:val="auto"/>
              <w:szCs w:val="22"/>
            </w:rPr>
          </w:pPr>
          <w:hyperlink w:anchor="_Toc77686048" w:history="1">
            <w:r w:rsidR="0058143B" w:rsidRPr="0002769E">
              <w:rPr>
                <w:rStyle w:val="Lienhypertexte"/>
                <w:noProof/>
              </w:rPr>
              <w:t>3.4.</w:t>
            </w:r>
            <w:r w:rsidR="0058143B">
              <w:rPr>
                <w:rFonts w:eastAsiaTheme="minorEastAsia" w:cstheme="minorBidi"/>
                <w:noProof/>
                <w:color w:val="auto"/>
                <w:szCs w:val="22"/>
              </w:rPr>
              <w:tab/>
            </w:r>
            <w:r w:rsidR="0058143B" w:rsidRPr="0002769E">
              <w:rPr>
                <w:rStyle w:val="Lienhypertexte"/>
                <w:noProof/>
              </w:rPr>
              <w:t>Points de Livraison sans Comptage</w:t>
            </w:r>
            <w:r w:rsidR="0058143B">
              <w:rPr>
                <w:noProof/>
                <w:webHidden/>
              </w:rPr>
              <w:tab/>
            </w:r>
            <w:r w:rsidR="0058143B">
              <w:rPr>
                <w:noProof/>
                <w:webHidden/>
              </w:rPr>
              <w:fldChar w:fldCharType="begin"/>
            </w:r>
            <w:r w:rsidR="0058143B">
              <w:rPr>
                <w:noProof/>
                <w:webHidden/>
              </w:rPr>
              <w:instrText xml:space="preserve"> PAGEREF _Toc77686048 \h </w:instrText>
            </w:r>
            <w:r w:rsidR="0058143B">
              <w:rPr>
                <w:noProof/>
                <w:webHidden/>
              </w:rPr>
            </w:r>
            <w:r w:rsidR="0058143B">
              <w:rPr>
                <w:noProof/>
                <w:webHidden/>
              </w:rPr>
              <w:fldChar w:fldCharType="separate"/>
            </w:r>
            <w:r w:rsidR="0058143B">
              <w:rPr>
                <w:noProof/>
                <w:webHidden/>
              </w:rPr>
              <w:t>16</w:t>
            </w:r>
            <w:r w:rsidR="0058143B">
              <w:rPr>
                <w:noProof/>
                <w:webHidden/>
              </w:rPr>
              <w:fldChar w:fldCharType="end"/>
            </w:r>
          </w:hyperlink>
        </w:p>
        <w:p w14:paraId="41A3F2BA" w14:textId="4F3AF8CF" w:rsidR="0058143B" w:rsidRDefault="001143B4">
          <w:pPr>
            <w:pStyle w:val="TM1"/>
            <w:rPr>
              <w:rFonts w:eastAsiaTheme="minorEastAsia" w:cstheme="minorBidi"/>
              <w:b w:val="0"/>
              <w:noProof/>
              <w:color w:val="auto"/>
              <w:sz w:val="22"/>
              <w:szCs w:val="22"/>
            </w:rPr>
          </w:pPr>
          <w:hyperlink w:anchor="_Toc77686049" w:history="1">
            <w:r w:rsidR="0058143B" w:rsidRPr="0002769E">
              <w:rPr>
                <w:rStyle w:val="Lienhypertexte"/>
                <w:bCs/>
                <w:noProof/>
              </w:rPr>
              <w:t>4.</w:t>
            </w:r>
            <w:r w:rsidR="0058143B">
              <w:rPr>
                <w:rFonts w:eastAsiaTheme="minorEastAsia" w:cstheme="minorBidi"/>
                <w:b w:val="0"/>
                <w:noProof/>
                <w:color w:val="auto"/>
                <w:sz w:val="22"/>
                <w:szCs w:val="22"/>
              </w:rPr>
              <w:tab/>
            </w:r>
            <w:r w:rsidR="0058143B" w:rsidRPr="0002769E">
              <w:rPr>
                <w:rStyle w:val="Lienhypertexte"/>
                <w:noProof/>
              </w:rPr>
              <w:t>Puissance Souscrite</w:t>
            </w:r>
            <w:r w:rsidR="0058143B">
              <w:rPr>
                <w:noProof/>
                <w:webHidden/>
              </w:rPr>
              <w:tab/>
            </w:r>
            <w:r w:rsidR="0058143B">
              <w:rPr>
                <w:noProof/>
                <w:webHidden/>
              </w:rPr>
              <w:fldChar w:fldCharType="begin"/>
            </w:r>
            <w:r w:rsidR="0058143B">
              <w:rPr>
                <w:noProof/>
                <w:webHidden/>
              </w:rPr>
              <w:instrText xml:space="preserve"> PAGEREF _Toc77686049 \h </w:instrText>
            </w:r>
            <w:r w:rsidR="0058143B">
              <w:rPr>
                <w:noProof/>
                <w:webHidden/>
              </w:rPr>
            </w:r>
            <w:r w:rsidR="0058143B">
              <w:rPr>
                <w:noProof/>
                <w:webHidden/>
              </w:rPr>
              <w:fldChar w:fldCharType="separate"/>
            </w:r>
            <w:r w:rsidR="0058143B">
              <w:rPr>
                <w:noProof/>
                <w:webHidden/>
              </w:rPr>
              <w:t>16</w:t>
            </w:r>
            <w:r w:rsidR="0058143B">
              <w:rPr>
                <w:noProof/>
                <w:webHidden/>
              </w:rPr>
              <w:fldChar w:fldCharType="end"/>
            </w:r>
          </w:hyperlink>
        </w:p>
        <w:p w14:paraId="49A3AF06" w14:textId="126E14CF" w:rsidR="0058143B" w:rsidRDefault="001143B4">
          <w:pPr>
            <w:pStyle w:val="TM2"/>
            <w:rPr>
              <w:rFonts w:eastAsiaTheme="minorEastAsia" w:cstheme="minorBidi"/>
              <w:noProof/>
              <w:color w:val="auto"/>
              <w:szCs w:val="22"/>
            </w:rPr>
          </w:pPr>
          <w:hyperlink w:anchor="_Toc77686050" w:history="1">
            <w:r w:rsidR="0058143B" w:rsidRPr="0002769E">
              <w:rPr>
                <w:rStyle w:val="Lienhypertexte"/>
                <w:noProof/>
              </w:rPr>
              <w:t>4.1.</w:t>
            </w:r>
            <w:r w:rsidR="0058143B">
              <w:rPr>
                <w:rFonts w:eastAsiaTheme="minorEastAsia" w:cstheme="minorBidi"/>
                <w:noProof/>
                <w:color w:val="auto"/>
                <w:szCs w:val="22"/>
              </w:rPr>
              <w:tab/>
            </w:r>
            <w:r w:rsidR="0058143B" w:rsidRPr="0002769E">
              <w:rPr>
                <w:rStyle w:val="Lienhypertexte"/>
                <w:noProof/>
              </w:rPr>
              <w:t>Choix de la Puissance Souscrite</w:t>
            </w:r>
            <w:r w:rsidR="0058143B">
              <w:rPr>
                <w:noProof/>
                <w:webHidden/>
              </w:rPr>
              <w:tab/>
            </w:r>
            <w:r w:rsidR="0058143B">
              <w:rPr>
                <w:noProof/>
                <w:webHidden/>
              </w:rPr>
              <w:fldChar w:fldCharType="begin"/>
            </w:r>
            <w:r w:rsidR="0058143B">
              <w:rPr>
                <w:noProof/>
                <w:webHidden/>
              </w:rPr>
              <w:instrText xml:space="preserve"> PAGEREF _Toc77686050 \h </w:instrText>
            </w:r>
            <w:r w:rsidR="0058143B">
              <w:rPr>
                <w:noProof/>
                <w:webHidden/>
              </w:rPr>
            </w:r>
            <w:r w:rsidR="0058143B">
              <w:rPr>
                <w:noProof/>
                <w:webHidden/>
              </w:rPr>
              <w:fldChar w:fldCharType="separate"/>
            </w:r>
            <w:r w:rsidR="0058143B">
              <w:rPr>
                <w:noProof/>
                <w:webHidden/>
              </w:rPr>
              <w:t>16</w:t>
            </w:r>
            <w:r w:rsidR="0058143B">
              <w:rPr>
                <w:noProof/>
                <w:webHidden/>
              </w:rPr>
              <w:fldChar w:fldCharType="end"/>
            </w:r>
          </w:hyperlink>
        </w:p>
        <w:p w14:paraId="277E50C6" w14:textId="759A783A" w:rsidR="0058143B" w:rsidRDefault="001143B4">
          <w:pPr>
            <w:pStyle w:val="TM2"/>
            <w:rPr>
              <w:rFonts w:eastAsiaTheme="minorEastAsia" w:cstheme="minorBidi"/>
              <w:noProof/>
              <w:color w:val="auto"/>
              <w:szCs w:val="22"/>
            </w:rPr>
          </w:pPr>
          <w:hyperlink w:anchor="_Toc77686051" w:history="1">
            <w:r w:rsidR="0058143B" w:rsidRPr="0002769E">
              <w:rPr>
                <w:rStyle w:val="Lienhypertexte"/>
                <w:noProof/>
              </w:rPr>
              <w:t>4.2.</w:t>
            </w:r>
            <w:r w:rsidR="0058143B">
              <w:rPr>
                <w:rFonts w:eastAsiaTheme="minorEastAsia" w:cstheme="minorBidi"/>
                <w:noProof/>
                <w:color w:val="auto"/>
                <w:szCs w:val="22"/>
              </w:rPr>
              <w:tab/>
            </w:r>
            <w:r w:rsidR="0058143B" w:rsidRPr="0002769E">
              <w:rPr>
                <w:rStyle w:val="Lienhypertexte"/>
                <w:noProof/>
              </w:rPr>
              <w:t>Modification de la Puissance Souscrite</w:t>
            </w:r>
            <w:r w:rsidR="0058143B">
              <w:rPr>
                <w:noProof/>
                <w:webHidden/>
              </w:rPr>
              <w:tab/>
            </w:r>
            <w:r w:rsidR="0058143B">
              <w:rPr>
                <w:noProof/>
                <w:webHidden/>
              </w:rPr>
              <w:fldChar w:fldCharType="begin"/>
            </w:r>
            <w:r w:rsidR="0058143B">
              <w:rPr>
                <w:noProof/>
                <w:webHidden/>
              </w:rPr>
              <w:instrText xml:space="preserve"> PAGEREF _Toc77686051 \h </w:instrText>
            </w:r>
            <w:r w:rsidR="0058143B">
              <w:rPr>
                <w:noProof/>
                <w:webHidden/>
              </w:rPr>
            </w:r>
            <w:r w:rsidR="0058143B">
              <w:rPr>
                <w:noProof/>
                <w:webHidden/>
              </w:rPr>
              <w:fldChar w:fldCharType="separate"/>
            </w:r>
            <w:r w:rsidR="0058143B">
              <w:rPr>
                <w:noProof/>
                <w:webHidden/>
              </w:rPr>
              <w:t>17</w:t>
            </w:r>
            <w:r w:rsidR="0058143B">
              <w:rPr>
                <w:noProof/>
                <w:webHidden/>
              </w:rPr>
              <w:fldChar w:fldCharType="end"/>
            </w:r>
          </w:hyperlink>
        </w:p>
        <w:p w14:paraId="33ED7C5E" w14:textId="01F4AB81" w:rsidR="0058143B" w:rsidRDefault="001143B4">
          <w:pPr>
            <w:pStyle w:val="TM3"/>
            <w:tabs>
              <w:tab w:val="left" w:pos="1701"/>
            </w:tabs>
            <w:rPr>
              <w:rFonts w:eastAsiaTheme="minorEastAsia" w:cstheme="minorBidi"/>
              <w:b w:val="0"/>
              <w:noProof/>
              <w:color w:val="auto"/>
              <w:sz w:val="22"/>
              <w:szCs w:val="22"/>
            </w:rPr>
          </w:pPr>
          <w:hyperlink w:anchor="_Toc77686052" w:history="1">
            <w:r w:rsidR="0058143B" w:rsidRPr="0002769E">
              <w:rPr>
                <w:rStyle w:val="Lienhypertexte"/>
                <w:noProof/>
              </w:rPr>
              <w:t>4.2.1.</w:t>
            </w:r>
            <w:r w:rsidR="0058143B">
              <w:rPr>
                <w:rFonts w:eastAsiaTheme="minorEastAsia" w:cstheme="minorBidi"/>
                <w:b w:val="0"/>
                <w:noProof/>
                <w:color w:val="auto"/>
                <w:sz w:val="22"/>
                <w:szCs w:val="22"/>
              </w:rPr>
              <w:tab/>
            </w:r>
            <w:r w:rsidR="0058143B" w:rsidRPr="0002769E">
              <w:rPr>
                <w:rStyle w:val="Lienhypertexte"/>
                <w:noProof/>
              </w:rPr>
              <w:t>Augmentation de la Puissance Souscrite</w:t>
            </w:r>
            <w:r w:rsidR="0058143B">
              <w:rPr>
                <w:noProof/>
                <w:webHidden/>
              </w:rPr>
              <w:tab/>
            </w:r>
            <w:r w:rsidR="0058143B">
              <w:rPr>
                <w:noProof/>
                <w:webHidden/>
              </w:rPr>
              <w:fldChar w:fldCharType="begin"/>
            </w:r>
            <w:r w:rsidR="0058143B">
              <w:rPr>
                <w:noProof/>
                <w:webHidden/>
              </w:rPr>
              <w:instrText xml:space="preserve"> PAGEREF _Toc77686052 \h </w:instrText>
            </w:r>
            <w:r w:rsidR="0058143B">
              <w:rPr>
                <w:noProof/>
                <w:webHidden/>
              </w:rPr>
            </w:r>
            <w:r w:rsidR="0058143B">
              <w:rPr>
                <w:noProof/>
                <w:webHidden/>
              </w:rPr>
              <w:fldChar w:fldCharType="separate"/>
            </w:r>
            <w:r w:rsidR="0058143B">
              <w:rPr>
                <w:noProof/>
                <w:webHidden/>
              </w:rPr>
              <w:t>17</w:t>
            </w:r>
            <w:r w:rsidR="0058143B">
              <w:rPr>
                <w:noProof/>
                <w:webHidden/>
              </w:rPr>
              <w:fldChar w:fldCharType="end"/>
            </w:r>
          </w:hyperlink>
        </w:p>
        <w:p w14:paraId="38C90415" w14:textId="72BA2C98" w:rsidR="0058143B" w:rsidRDefault="001143B4">
          <w:pPr>
            <w:pStyle w:val="TM3"/>
            <w:tabs>
              <w:tab w:val="left" w:pos="1701"/>
            </w:tabs>
            <w:rPr>
              <w:rFonts w:eastAsiaTheme="minorEastAsia" w:cstheme="minorBidi"/>
              <w:b w:val="0"/>
              <w:noProof/>
              <w:color w:val="auto"/>
              <w:sz w:val="22"/>
              <w:szCs w:val="22"/>
            </w:rPr>
          </w:pPr>
          <w:hyperlink w:anchor="_Toc77686053" w:history="1">
            <w:r w:rsidR="0058143B" w:rsidRPr="0002769E">
              <w:rPr>
                <w:rStyle w:val="Lienhypertexte"/>
                <w:noProof/>
              </w:rPr>
              <w:t>4.2.2.</w:t>
            </w:r>
            <w:r w:rsidR="0058143B">
              <w:rPr>
                <w:rFonts w:eastAsiaTheme="minorEastAsia" w:cstheme="minorBidi"/>
                <w:b w:val="0"/>
                <w:noProof/>
                <w:color w:val="auto"/>
                <w:sz w:val="22"/>
                <w:szCs w:val="22"/>
              </w:rPr>
              <w:tab/>
            </w:r>
            <w:r w:rsidR="0058143B" w:rsidRPr="0002769E">
              <w:rPr>
                <w:rStyle w:val="Lienhypertexte"/>
                <w:noProof/>
              </w:rPr>
              <w:t>Diminution de la Puissance Souscrite</w:t>
            </w:r>
            <w:r w:rsidR="0058143B">
              <w:rPr>
                <w:noProof/>
                <w:webHidden/>
              </w:rPr>
              <w:tab/>
            </w:r>
            <w:r w:rsidR="0058143B">
              <w:rPr>
                <w:noProof/>
                <w:webHidden/>
              </w:rPr>
              <w:fldChar w:fldCharType="begin"/>
            </w:r>
            <w:r w:rsidR="0058143B">
              <w:rPr>
                <w:noProof/>
                <w:webHidden/>
              </w:rPr>
              <w:instrText xml:space="preserve"> PAGEREF _Toc77686053 \h </w:instrText>
            </w:r>
            <w:r w:rsidR="0058143B">
              <w:rPr>
                <w:noProof/>
                <w:webHidden/>
              </w:rPr>
            </w:r>
            <w:r w:rsidR="0058143B">
              <w:rPr>
                <w:noProof/>
                <w:webHidden/>
              </w:rPr>
              <w:fldChar w:fldCharType="separate"/>
            </w:r>
            <w:r w:rsidR="0058143B">
              <w:rPr>
                <w:noProof/>
                <w:webHidden/>
              </w:rPr>
              <w:t>17</w:t>
            </w:r>
            <w:r w:rsidR="0058143B">
              <w:rPr>
                <w:noProof/>
                <w:webHidden/>
              </w:rPr>
              <w:fldChar w:fldCharType="end"/>
            </w:r>
          </w:hyperlink>
        </w:p>
        <w:p w14:paraId="12AE5C9E" w14:textId="1CCCB17B" w:rsidR="0058143B" w:rsidRDefault="001143B4">
          <w:pPr>
            <w:pStyle w:val="TM2"/>
            <w:rPr>
              <w:rFonts w:eastAsiaTheme="minorEastAsia" w:cstheme="minorBidi"/>
              <w:noProof/>
              <w:color w:val="auto"/>
              <w:szCs w:val="22"/>
            </w:rPr>
          </w:pPr>
          <w:hyperlink w:anchor="_Toc77686054" w:history="1">
            <w:r w:rsidR="0058143B" w:rsidRPr="0002769E">
              <w:rPr>
                <w:rStyle w:val="Lienhypertexte"/>
                <w:noProof/>
              </w:rPr>
              <w:t>4.3.</w:t>
            </w:r>
            <w:r w:rsidR="0058143B">
              <w:rPr>
                <w:rFonts w:eastAsiaTheme="minorEastAsia" w:cstheme="minorBidi"/>
                <w:noProof/>
                <w:color w:val="auto"/>
                <w:szCs w:val="22"/>
              </w:rPr>
              <w:tab/>
            </w:r>
            <w:r w:rsidR="0058143B" w:rsidRPr="0002769E">
              <w:rPr>
                <w:rStyle w:val="Lienhypertexte"/>
                <w:noProof/>
              </w:rPr>
              <w:t>Modalités de modification de la Puissance Souscrite</w:t>
            </w:r>
            <w:r w:rsidR="0058143B">
              <w:rPr>
                <w:noProof/>
                <w:webHidden/>
              </w:rPr>
              <w:tab/>
            </w:r>
            <w:r w:rsidR="0058143B">
              <w:rPr>
                <w:noProof/>
                <w:webHidden/>
              </w:rPr>
              <w:fldChar w:fldCharType="begin"/>
            </w:r>
            <w:r w:rsidR="0058143B">
              <w:rPr>
                <w:noProof/>
                <w:webHidden/>
              </w:rPr>
              <w:instrText xml:space="preserve"> PAGEREF _Toc77686054 \h </w:instrText>
            </w:r>
            <w:r w:rsidR="0058143B">
              <w:rPr>
                <w:noProof/>
                <w:webHidden/>
              </w:rPr>
            </w:r>
            <w:r w:rsidR="0058143B">
              <w:rPr>
                <w:noProof/>
                <w:webHidden/>
              </w:rPr>
              <w:fldChar w:fldCharType="separate"/>
            </w:r>
            <w:r w:rsidR="0058143B">
              <w:rPr>
                <w:noProof/>
                <w:webHidden/>
              </w:rPr>
              <w:t>18</w:t>
            </w:r>
            <w:r w:rsidR="0058143B">
              <w:rPr>
                <w:noProof/>
                <w:webHidden/>
              </w:rPr>
              <w:fldChar w:fldCharType="end"/>
            </w:r>
          </w:hyperlink>
        </w:p>
        <w:p w14:paraId="4623DBB6" w14:textId="59F04A82" w:rsidR="0058143B" w:rsidRDefault="001143B4">
          <w:pPr>
            <w:pStyle w:val="TM2"/>
            <w:rPr>
              <w:rFonts w:eastAsiaTheme="minorEastAsia" w:cstheme="minorBidi"/>
              <w:noProof/>
              <w:color w:val="auto"/>
              <w:szCs w:val="22"/>
            </w:rPr>
          </w:pPr>
          <w:hyperlink w:anchor="_Toc77686055" w:history="1">
            <w:r w:rsidR="0058143B" w:rsidRPr="0002769E">
              <w:rPr>
                <w:rStyle w:val="Lienhypertexte"/>
                <w:noProof/>
              </w:rPr>
              <w:t>4.4.</w:t>
            </w:r>
            <w:r w:rsidR="0058143B">
              <w:rPr>
                <w:rFonts w:eastAsiaTheme="minorEastAsia" w:cstheme="minorBidi"/>
                <w:noProof/>
                <w:color w:val="auto"/>
                <w:szCs w:val="22"/>
              </w:rPr>
              <w:tab/>
            </w:r>
            <w:r w:rsidR="0058143B" w:rsidRPr="0002769E">
              <w:rPr>
                <w:rStyle w:val="Lienhypertexte"/>
                <w:noProof/>
              </w:rPr>
              <w:t>Cas particulier de Points de Livraison sans comptage</w:t>
            </w:r>
            <w:r w:rsidR="0058143B">
              <w:rPr>
                <w:noProof/>
                <w:webHidden/>
              </w:rPr>
              <w:tab/>
            </w:r>
            <w:r w:rsidR="0058143B">
              <w:rPr>
                <w:noProof/>
                <w:webHidden/>
              </w:rPr>
              <w:fldChar w:fldCharType="begin"/>
            </w:r>
            <w:r w:rsidR="0058143B">
              <w:rPr>
                <w:noProof/>
                <w:webHidden/>
              </w:rPr>
              <w:instrText xml:space="preserve"> PAGEREF _Toc77686055 \h </w:instrText>
            </w:r>
            <w:r w:rsidR="0058143B">
              <w:rPr>
                <w:noProof/>
                <w:webHidden/>
              </w:rPr>
            </w:r>
            <w:r w:rsidR="0058143B">
              <w:rPr>
                <w:noProof/>
                <w:webHidden/>
              </w:rPr>
              <w:fldChar w:fldCharType="separate"/>
            </w:r>
            <w:r w:rsidR="0058143B">
              <w:rPr>
                <w:noProof/>
                <w:webHidden/>
              </w:rPr>
              <w:t>18</w:t>
            </w:r>
            <w:r w:rsidR="0058143B">
              <w:rPr>
                <w:noProof/>
                <w:webHidden/>
              </w:rPr>
              <w:fldChar w:fldCharType="end"/>
            </w:r>
          </w:hyperlink>
        </w:p>
        <w:p w14:paraId="68B0A570" w14:textId="768A7507" w:rsidR="0058143B" w:rsidRDefault="001143B4">
          <w:pPr>
            <w:pStyle w:val="TM1"/>
            <w:rPr>
              <w:rFonts w:eastAsiaTheme="minorEastAsia" w:cstheme="minorBidi"/>
              <w:b w:val="0"/>
              <w:noProof/>
              <w:color w:val="auto"/>
              <w:sz w:val="22"/>
              <w:szCs w:val="22"/>
            </w:rPr>
          </w:pPr>
          <w:hyperlink w:anchor="_Toc77686056" w:history="1">
            <w:r w:rsidR="0058143B" w:rsidRPr="0002769E">
              <w:rPr>
                <w:rStyle w:val="Lienhypertexte"/>
                <w:bCs/>
                <w:noProof/>
              </w:rPr>
              <w:t>5.</w:t>
            </w:r>
            <w:r w:rsidR="0058143B">
              <w:rPr>
                <w:rFonts w:eastAsiaTheme="minorEastAsia" w:cstheme="minorBidi"/>
                <w:b w:val="0"/>
                <w:noProof/>
                <w:color w:val="auto"/>
                <w:sz w:val="22"/>
                <w:szCs w:val="22"/>
              </w:rPr>
              <w:tab/>
            </w:r>
            <w:r w:rsidR="0058143B" w:rsidRPr="0002769E">
              <w:rPr>
                <w:rStyle w:val="Lienhypertexte"/>
                <w:noProof/>
              </w:rPr>
              <w:t>Continuité et qualité</w:t>
            </w:r>
            <w:r w:rsidR="0058143B">
              <w:rPr>
                <w:noProof/>
                <w:webHidden/>
              </w:rPr>
              <w:tab/>
            </w:r>
            <w:r w:rsidR="0058143B">
              <w:rPr>
                <w:noProof/>
                <w:webHidden/>
              </w:rPr>
              <w:fldChar w:fldCharType="begin"/>
            </w:r>
            <w:r w:rsidR="0058143B">
              <w:rPr>
                <w:noProof/>
                <w:webHidden/>
              </w:rPr>
              <w:instrText xml:space="preserve"> PAGEREF _Toc77686056 \h </w:instrText>
            </w:r>
            <w:r w:rsidR="0058143B">
              <w:rPr>
                <w:noProof/>
                <w:webHidden/>
              </w:rPr>
            </w:r>
            <w:r w:rsidR="0058143B">
              <w:rPr>
                <w:noProof/>
                <w:webHidden/>
              </w:rPr>
              <w:fldChar w:fldCharType="separate"/>
            </w:r>
            <w:r w:rsidR="0058143B">
              <w:rPr>
                <w:noProof/>
                <w:webHidden/>
              </w:rPr>
              <w:t>18</w:t>
            </w:r>
            <w:r w:rsidR="0058143B">
              <w:rPr>
                <w:noProof/>
                <w:webHidden/>
              </w:rPr>
              <w:fldChar w:fldCharType="end"/>
            </w:r>
          </w:hyperlink>
        </w:p>
        <w:p w14:paraId="5BC7AF19" w14:textId="6BF109D4" w:rsidR="0058143B" w:rsidRDefault="001143B4">
          <w:pPr>
            <w:pStyle w:val="TM2"/>
            <w:rPr>
              <w:rFonts w:eastAsiaTheme="minorEastAsia" w:cstheme="minorBidi"/>
              <w:noProof/>
              <w:color w:val="auto"/>
              <w:szCs w:val="22"/>
            </w:rPr>
          </w:pPr>
          <w:hyperlink w:anchor="_Toc77686057" w:history="1">
            <w:r w:rsidR="0058143B" w:rsidRPr="0002769E">
              <w:rPr>
                <w:rStyle w:val="Lienhypertexte"/>
                <w:noProof/>
              </w:rPr>
              <w:t>5.1.</w:t>
            </w:r>
            <w:r w:rsidR="0058143B">
              <w:rPr>
                <w:rFonts w:eastAsiaTheme="minorEastAsia" w:cstheme="minorBidi"/>
                <w:noProof/>
                <w:color w:val="auto"/>
                <w:szCs w:val="22"/>
              </w:rPr>
              <w:tab/>
            </w:r>
            <w:r w:rsidR="0058143B" w:rsidRPr="0002769E">
              <w:rPr>
                <w:rStyle w:val="Lienhypertexte"/>
                <w:noProof/>
              </w:rPr>
              <w:t>Engagements du GRD</w:t>
            </w:r>
            <w:r w:rsidR="0058143B">
              <w:rPr>
                <w:noProof/>
                <w:webHidden/>
              </w:rPr>
              <w:tab/>
            </w:r>
            <w:r w:rsidR="0058143B">
              <w:rPr>
                <w:noProof/>
                <w:webHidden/>
              </w:rPr>
              <w:fldChar w:fldCharType="begin"/>
            </w:r>
            <w:r w:rsidR="0058143B">
              <w:rPr>
                <w:noProof/>
                <w:webHidden/>
              </w:rPr>
              <w:instrText xml:space="preserve"> PAGEREF _Toc77686057 \h </w:instrText>
            </w:r>
            <w:r w:rsidR="0058143B">
              <w:rPr>
                <w:noProof/>
                <w:webHidden/>
              </w:rPr>
            </w:r>
            <w:r w:rsidR="0058143B">
              <w:rPr>
                <w:noProof/>
                <w:webHidden/>
              </w:rPr>
              <w:fldChar w:fldCharType="separate"/>
            </w:r>
            <w:r w:rsidR="0058143B">
              <w:rPr>
                <w:noProof/>
                <w:webHidden/>
              </w:rPr>
              <w:t>18</w:t>
            </w:r>
            <w:r w:rsidR="0058143B">
              <w:rPr>
                <w:noProof/>
                <w:webHidden/>
              </w:rPr>
              <w:fldChar w:fldCharType="end"/>
            </w:r>
          </w:hyperlink>
        </w:p>
        <w:p w14:paraId="16954420" w14:textId="2C930D46" w:rsidR="0058143B" w:rsidRDefault="001143B4">
          <w:pPr>
            <w:pStyle w:val="TM3"/>
            <w:tabs>
              <w:tab w:val="left" w:pos="1701"/>
            </w:tabs>
            <w:rPr>
              <w:rFonts w:eastAsiaTheme="minorEastAsia" w:cstheme="minorBidi"/>
              <w:b w:val="0"/>
              <w:noProof/>
              <w:color w:val="auto"/>
              <w:sz w:val="22"/>
              <w:szCs w:val="22"/>
            </w:rPr>
          </w:pPr>
          <w:hyperlink w:anchor="_Toc77686058" w:history="1">
            <w:r w:rsidR="0058143B" w:rsidRPr="0002769E">
              <w:rPr>
                <w:rStyle w:val="Lienhypertexte"/>
                <w:noProof/>
              </w:rPr>
              <w:t>5.1.1.</w:t>
            </w:r>
            <w:r w:rsidR="0058143B">
              <w:rPr>
                <w:rFonts w:eastAsiaTheme="minorEastAsia" w:cstheme="minorBidi"/>
                <w:b w:val="0"/>
                <w:noProof/>
                <w:color w:val="auto"/>
                <w:sz w:val="22"/>
                <w:szCs w:val="22"/>
              </w:rPr>
              <w:tab/>
            </w:r>
            <w:r w:rsidR="0058143B" w:rsidRPr="0002769E">
              <w:rPr>
                <w:rStyle w:val="Lienhypertexte"/>
                <w:noProof/>
              </w:rPr>
              <w:t>Engagements du GRD en matière de qualité de l’onde</w:t>
            </w:r>
            <w:r w:rsidR="0058143B">
              <w:rPr>
                <w:noProof/>
                <w:webHidden/>
              </w:rPr>
              <w:tab/>
            </w:r>
            <w:r w:rsidR="0058143B">
              <w:rPr>
                <w:noProof/>
                <w:webHidden/>
              </w:rPr>
              <w:fldChar w:fldCharType="begin"/>
            </w:r>
            <w:r w:rsidR="0058143B">
              <w:rPr>
                <w:noProof/>
                <w:webHidden/>
              </w:rPr>
              <w:instrText xml:space="preserve"> PAGEREF _Toc77686058 \h </w:instrText>
            </w:r>
            <w:r w:rsidR="0058143B">
              <w:rPr>
                <w:noProof/>
                <w:webHidden/>
              </w:rPr>
            </w:r>
            <w:r w:rsidR="0058143B">
              <w:rPr>
                <w:noProof/>
                <w:webHidden/>
              </w:rPr>
              <w:fldChar w:fldCharType="separate"/>
            </w:r>
            <w:r w:rsidR="0058143B">
              <w:rPr>
                <w:noProof/>
                <w:webHidden/>
              </w:rPr>
              <w:t>19</w:t>
            </w:r>
            <w:r w:rsidR="0058143B">
              <w:rPr>
                <w:noProof/>
                <w:webHidden/>
              </w:rPr>
              <w:fldChar w:fldCharType="end"/>
            </w:r>
          </w:hyperlink>
        </w:p>
        <w:p w14:paraId="776344A2" w14:textId="77F06086" w:rsidR="0058143B" w:rsidRDefault="001143B4">
          <w:pPr>
            <w:pStyle w:val="TM3"/>
            <w:tabs>
              <w:tab w:val="left" w:pos="1701"/>
            </w:tabs>
            <w:rPr>
              <w:rFonts w:eastAsiaTheme="minorEastAsia" w:cstheme="minorBidi"/>
              <w:b w:val="0"/>
              <w:noProof/>
              <w:color w:val="auto"/>
              <w:sz w:val="22"/>
              <w:szCs w:val="22"/>
            </w:rPr>
          </w:pPr>
          <w:hyperlink w:anchor="_Toc77686059" w:history="1">
            <w:r w:rsidR="0058143B" w:rsidRPr="0002769E">
              <w:rPr>
                <w:rStyle w:val="Lienhypertexte"/>
                <w:noProof/>
              </w:rPr>
              <w:t>5.1.2.</w:t>
            </w:r>
            <w:r w:rsidR="0058143B">
              <w:rPr>
                <w:rFonts w:eastAsiaTheme="minorEastAsia" w:cstheme="minorBidi"/>
                <w:b w:val="0"/>
                <w:noProof/>
                <w:color w:val="auto"/>
                <w:sz w:val="22"/>
                <w:szCs w:val="22"/>
              </w:rPr>
              <w:tab/>
            </w:r>
            <w:r w:rsidR="0058143B" w:rsidRPr="0002769E">
              <w:rPr>
                <w:rStyle w:val="Lienhypertexte"/>
                <w:noProof/>
              </w:rPr>
              <w:t>Engagements du GRD sur la continuité hors travaux</w:t>
            </w:r>
            <w:r w:rsidR="0058143B">
              <w:rPr>
                <w:noProof/>
                <w:webHidden/>
              </w:rPr>
              <w:tab/>
            </w:r>
            <w:r w:rsidR="0058143B">
              <w:rPr>
                <w:noProof/>
                <w:webHidden/>
              </w:rPr>
              <w:fldChar w:fldCharType="begin"/>
            </w:r>
            <w:r w:rsidR="0058143B">
              <w:rPr>
                <w:noProof/>
                <w:webHidden/>
              </w:rPr>
              <w:instrText xml:space="preserve"> PAGEREF _Toc77686059 \h </w:instrText>
            </w:r>
            <w:r w:rsidR="0058143B">
              <w:rPr>
                <w:noProof/>
                <w:webHidden/>
              </w:rPr>
            </w:r>
            <w:r w:rsidR="0058143B">
              <w:rPr>
                <w:noProof/>
                <w:webHidden/>
              </w:rPr>
              <w:fldChar w:fldCharType="separate"/>
            </w:r>
            <w:r w:rsidR="0058143B">
              <w:rPr>
                <w:noProof/>
                <w:webHidden/>
              </w:rPr>
              <w:t>19</w:t>
            </w:r>
            <w:r w:rsidR="0058143B">
              <w:rPr>
                <w:noProof/>
                <w:webHidden/>
              </w:rPr>
              <w:fldChar w:fldCharType="end"/>
            </w:r>
          </w:hyperlink>
        </w:p>
        <w:p w14:paraId="364CDFDB" w14:textId="2C1F9901" w:rsidR="0058143B" w:rsidRDefault="001143B4">
          <w:pPr>
            <w:pStyle w:val="TM3"/>
            <w:tabs>
              <w:tab w:val="left" w:pos="1701"/>
            </w:tabs>
            <w:rPr>
              <w:rFonts w:eastAsiaTheme="minorEastAsia" w:cstheme="minorBidi"/>
              <w:b w:val="0"/>
              <w:noProof/>
              <w:color w:val="auto"/>
              <w:sz w:val="22"/>
              <w:szCs w:val="22"/>
            </w:rPr>
          </w:pPr>
          <w:hyperlink w:anchor="_Toc77686060" w:history="1">
            <w:r w:rsidR="0058143B" w:rsidRPr="0002769E">
              <w:rPr>
                <w:rStyle w:val="Lienhypertexte"/>
                <w:noProof/>
              </w:rPr>
              <w:t>5.1.3.</w:t>
            </w:r>
            <w:r w:rsidR="0058143B">
              <w:rPr>
                <w:rFonts w:eastAsiaTheme="minorEastAsia" w:cstheme="minorBidi"/>
                <w:b w:val="0"/>
                <w:noProof/>
                <w:color w:val="auto"/>
                <w:sz w:val="22"/>
                <w:szCs w:val="22"/>
              </w:rPr>
              <w:tab/>
            </w:r>
            <w:r w:rsidR="0058143B" w:rsidRPr="0002769E">
              <w:rPr>
                <w:rStyle w:val="Lienhypertexte"/>
                <w:noProof/>
              </w:rPr>
              <w:t>Prestations du GRD pour l’information des Clients en cas d’incident affectant le RPD</w:t>
            </w:r>
            <w:r w:rsidR="0058143B">
              <w:rPr>
                <w:noProof/>
                <w:webHidden/>
              </w:rPr>
              <w:tab/>
            </w:r>
            <w:r w:rsidR="0058143B">
              <w:rPr>
                <w:noProof/>
                <w:webHidden/>
              </w:rPr>
              <w:fldChar w:fldCharType="begin"/>
            </w:r>
            <w:r w:rsidR="0058143B">
              <w:rPr>
                <w:noProof/>
                <w:webHidden/>
              </w:rPr>
              <w:instrText xml:space="preserve"> PAGEREF _Toc77686060 \h </w:instrText>
            </w:r>
            <w:r w:rsidR="0058143B">
              <w:rPr>
                <w:noProof/>
                <w:webHidden/>
              </w:rPr>
            </w:r>
            <w:r w:rsidR="0058143B">
              <w:rPr>
                <w:noProof/>
                <w:webHidden/>
              </w:rPr>
              <w:fldChar w:fldCharType="separate"/>
            </w:r>
            <w:r w:rsidR="0058143B">
              <w:rPr>
                <w:noProof/>
                <w:webHidden/>
              </w:rPr>
              <w:t>19</w:t>
            </w:r>
            <w:r w:rsidR="0058143B">
              <w:rPr>
                <w:noProof/>
                <w:webHidden/>
              </w:rPr>
              <w:fldChar w:fldCharType="end"/>
            </w:r>
          </w:hyperlink>
        </w:p>
        <w:p w14:paraId="3E34A8B4" w14:textId="76D1E91B" w:rsidR="0058143B" w:rsidRDefault="001143B4">
          <w:pPr>
            <w:pStyle w:val="TM3"/>
            <w:tabs>
              <w:tab w:val="left" w:pos="1701"/>
            </w:tabs>
            <w:rPr>
              <w:rFonts w:eastAsiaTheme="minorEastAsia" w:cstheme="minorBidi"/>
              <w:b w:val="0"/>
              <w:noProof/>
              <w:color w:val="auto"/>
              <w:sz w:val="22"/>
              <w:szCs w:val="22"/>
            </w:rPr>
          </w:pPr>
          <w:hyperlink w:anchor="_Toc77686061" w:history="1">
            <w:r w:rsidR="0058143B" w:rsidRPr="0002769E">
              <w:rPr>
                <w:rStyle w:val="Lienhypertexte"/>
                <w:noProof/>
              </w:rPr>
              <w:t>5.1.4.</w:t>
            </w:r>
            <w:r w:rsidR="0058143B">
              <w:rPr>
                <w:rFonts w:eastAsiaTheme="minorEastAsia" w:cstheme="minorBidi"/>
                <w:b w:val="0"/>
                <w:noProof/>
                <w:color w:val="auto"/>
                <w:sz w:val="22"/>
                <w:szCs w:val="22"/>
              </w:rPr>
              <w:tab/>
            </w:r>
            <w:r w:rsidR="0058143B" w:rsidRPr="0002769E">
              <w:rPr>
                <w:rStyle w:val="Lienhypertexte"/>
                <w:noProof/>
              </w:rPr>
              <w:t>Engagements du GRD sur la continuité dans le cadre des travaux sur le Réseau Public de Distribution</w:t>
            </w:r>
            <w:r w:rsidR="0058143B">
              <w:rPr>
                <w:noProof/>
                <w:webHidden/>
              </w:rPr>
              <w:tab/>
            </w:r>
            <w:r w:rsidR="0058143B">
              <w:rPr>
                <w:noProof/>
                <w:webHidden/>
              </w:rPr>
              <w:fldChar w:fldCharType="begin"/>
            </w:r>
            <w:r w:rsidR="0058143B">
              <w:rPr>
                <w:noProof/>
                <w:webHidden/>
              </w:rPr>
              <w:instrText xml:space="preserve"> PAGEREF _Toc77686061 \h </w:instrText>
            </w:r>
            <w:r w:rsidR="0058143B">
              <w:rPr>
                <w:noProof/>
                <w:webHidden/>
              </w:rPr>
            </w:r>
            <w:r w:rsidR="0058143B">
              <w:rPr>
                <w:noProof/>
                <w:webHidden/>
              </w:rPr>
              <w:fldChar w:fldCharType="separate"/>
            </w:r>
            <w:r w:rsidR="0058143B">
              <w:rPr>
                <w:noProof/>
                <w:webHidden/>
              </w:rPr>
              <w:t>20</w:t>
            </w:r>
            <w:r w:rsidR="0058143B">
              <w:rPr>
                <w:noProof/>
                <w:webHidden/>
              </w:rPr>
              <w:fldChar w:fldCharType="end"/>
            </w:r>
          </w:hyperlink>
        </w:p>
        <w:p w14:paraId="0538DA8F" w14:textId="2D673437" w:rsidR="0058143B" w:rsidRDefault="001143B4">
          <w:pPr>
            <w:pStyle w:val="TM2"/>
            <w:rPr>
              <w:rFonts w:eastAsiaTheme="minorEastAsia" w:cstheme="minorBidi"/>
              <w:noProof/>
              <w:color w:val="auto"/>
              <w:szCs w:val="22"/>
            </w:rPr>
          </w:pPr>
          <w:hyperlink w:anchor="_Toc77686062" w:history="1">
            <w:r w:rsidR="0058143B" w:rsidRPr="0002769E">
              <w:rPr>
                <w:rStyle w:val="Lienhypertexte"/>
                <w:noProof/>
              </w:rPr>
              <w:t>5.2.</w:t>
            </w:r>
            <w:r w:rsidR="0058143B">
              <w:rPr>
                <w:rFonts w:eastAsiaTheme="minorEastAsia" w:cstheme="minorBidi"/>
                <w:noProof/>
                <w:color w:val="auto"/>
                <w:szCs w:val="22"/>
              </w:rPr>
              <w:tab/>
            </w:r>
            <w:r w:rsidR="0058143B" w:rsidRPr="0002769E">
              <w:rPr>
                <w:rStyle w:val="Lienhypertexte"/>
                <w:noProof/>
              </w:rPr>
              <w:t>Engagements du Client</w:t>
            </w:r>
            <w:r w:rsidR="0058143B">
              <w:rPr>
                <w:noProof/>
                <w:webHidden/>
              </w:rPr>
              <w:tab/>
            </w:r>
            <w:r w:rsidR="0058143B">
              <w:rPr>
                <w:noProof/>
                <w:webHidden/>
              </w:rPr>
              <w:fldChar w:fldCharType="begin"/>
            </w:r>
            <w:r w:rsidR="0058143B">
              <w:rPr>
                <w:noProof/>
                <w:webHidden/>
              </w:rPr>
              <w:instrText xml:space="preserve"> PAGEREF _Toc77686062 \h </w:instrText>
            </w:r>
            <w:r w:rsidR="0058143B">
              <w:rPr>
                <w:noProof/>
                <w:webHidden/>
              </w:rPr>
            </w:r>
            <w:r w:rsidR="0058143B">
              <w:rPr>
                <w:noProof/>
                <w:webHidden/>
              </w:rPr>
              <w:fldChar w:fldCharType="separate"/>
            </w:r>
            <w:r w:rsidR="0058143B">
              <w:rPr>
                <w:noProof/>
                <w:webHidden/>
              </w:rPr>
              <w:t>20</w:t>
            </w:r>
            <w:r w:rsidR="0058143B">
              <w:rPr>
                <w:noProof/>
                <w:webHidden/>
              </w:rPr>
              <w:fldChar w:fldCharType="end"/>
            </w:r>
          </w:hyperlink>
        </w:p>
        <w:p w14:paraId="71255944" w14:textId="62E2FDA4" w:rsidR="0058143B" w:rsidRDefault="001143B4">
          <w:pPr>
            <w:pStyle w:val="TM3"/>
            <w:tabs>
              <w:tab w:val="left" w:pos="1701"/>
            </w:tabs>
            <w:rPr>
              <w:rFonts w:eastAsiaTheme="minorEastAsia" w:cstheme="minorBidi"/>
              <w:b w:val="0"/>
              <w:noProof/>
              <w:color w:val="auto"/>
              <w:sz w:val="22"/>
              <w:szCs w:val="22"/>
            </w:rPr>
          </w:pPr>
          <w:hyperlink w:anchor="_Toc77686063" w:history="1">
            <w:r w:rsidR="0058143B" w:rsidRPr="0002769E">
              <w:rPr>
                <w:rStyle w:val="Lienhypertexte"/>
                <w:noProof/>
              </w:rPr>
              <w:t>5.2.1.</w:t>
            </w:r>
            <w:r w:rsidR="0058143B">
              <w:rPr>
                <w:rFonts w:eastAsiaTheme="minorEastAsia" w:cstheme="minorBidi"/>
                <w:b w:val="0"/>
                <w:noProof/>
                <w:color w:val="auto"/>
                <w:sz w:val="22"/>
                <w:szCs w:val="22"/>
              </w:rPr>
              <w:tab/>
            </w:r>
            <w:r w:rsidR="0058143B" w:rsidRPr="0002769E">
              <w:rPr>
                <w:rStyle w:val="Lienhypertexte"/>
                <w:noProof/>
              </w:rPr>
              <w:t>Obligation de prudence</w:t>
            </w:r>
            <w:r w:rsidR="0058143B">
              <w:rPr>
                <w:noProof/>
                <w:webHidden/>
              </w:rPr>
              <w:tab/>
            </w:r>
            <w:r w:rsidR="0058143B">
              <w:rPr>
                <w:noProof/>
                <w:webHidden/>
              </w:rPr>
              <w:fldChar w:fldCharType="begin"/>
            </w:r>
            <w:r w:rsidR="0058143B">
              <w:rPr>
                <w:noProof/>
                <w:webHidden/>
              </w:rPr>
              <w:instrText xml:space="preserve"> PAGEREF _Toc77686063 \h </w:instrText>
            </w:r>
            <w:r w:rsidR="0058143B">
              <w:rPr>
                <w:noProof/>
                <w:webHidden/>
              </w:rPr>
            </w:r>
            <w:r w:rsidR="0058143B">
              <w:rPr>
                <w:noProof/>
                <w:webHidden/>
              </w:rPr>
              <w:fldChar w:fldCharType="separate"/>
            </w:r>
            <w:r w:rsidR="0058143B">
              <w:rPr>
                <w:noProof/>
                <w:webHidden/>
              </w:rPr>
              <w:t>20</w:t>
            </w:r>
            <w:r w:rsidR="0058143B">
              <w:rPr>
                <w:noProof/>
                <w:webHidden/>
              </w:rPr>
              <w:fldChar w:fldCharType="end"/>
            </w:r>
          </w:hyperlink>
        </w:p>
        <w:p w14:paraId="40DE842F" w14:textId="5D598098" w:rsidR="0058143B" w:rsidRDefault="001143B4">
          <w:pPr>
            <w:pStyle w:val="TM3"/>
            <w:tabs>
              <w:tab w:val="left" w:pos="1701"/>
            </w:tabs>
            <w:rPr>
              <w:rFonts w:eastAsiaTheme="minorEastAsia" w:cstheme="minorBidi"/>
              <w:b w:val="0"/>
              <w:noProof/>
              <w:color w:val="auto"/>
              <w:sz w:val="22"/>
              <w:szCs w:val="22"/>
            </w:rPr>
          </w:pPr>
          <w:hyperlink w:anchor="_Toc77686064" w:history="1">
            <w:r w:rsidR="0058143B" w:rsidRPr="0002769E">
              <w:rPr>
                <w:rStyle w:val="Lienhypertexte"/>
                <w:noProof/>
              </w:rPr>
              <w:t>5.2.2.</w:t>
            </w:r>
            <w:r w:rsidR="0058143B">
              <w:rPr>
                <w:rFonts w:eastAsiaTheme="minorEastAsia" w:cstheme="minorBidi"/>
                <w:b w:val="0"/>
                <w:noProof/>
                <w:color w:val="auto"/>
                <w:sz w:val="22"/>
                <w:szCs w:val="22"/>
              </w:rPr>
              <w:tab/>
            </w:r>
            <w:r w:rsidR="0058143B" w:rsidRPr="0002769E">
              <w:rPr>
                <w:rStyle w:val="Lienhypertexte"/>
                <w:noProof/>
              </w:rPr>
              <w:t>Niveaux de perturbations admissibles</w:t>
            </w:r>
            <w:r w:rsidR="0058143B">
              <w:rPr>
                <w:noProof/>
                <w:webHidden/>
              </w:rPr>
              <w:tab/>
            </w:r>
            <w:r w:rsidR="0058143B">
              <w:rPr>
                <w:noProof/>
                <w:webHidden/>
              </w:rPr>
              <w:fldChar w:fldCharType="begin"/>
            </w:r>
            <w:r w:rsidR="0058143B">
              <w:rPr>
                <w:noProof/>
                <w:webHidden/>
              </w:rPr>
              <w:instrText xml:space="preserve"> PAGEREF _Toc77686064 \h </w:instrText>
            </w:r>
            <w:r w:rsidR="0058143B">
              <w:rPr>
                <w:noProof/>
                <w:webHidden/>
              </w:rPr>
            </w:r>
            <w:r w:rsidR="0058143B">
              <w:rPr>
                <w:noProof/>
                <w:webHidden/>
              </w:rPr>
              <w:fldChar w:fldCharType="separate"/>
            </w:r>
            <w:r w:rsidR="0058143B">
              <w:rPr>
                <w:noProof/>
                <w:webHidden/>
              </w:rPr>
              <w:t>20</w:t>
            </w:r>
            <w:r w:rsidR="0058143B">
              <w:rPr>
                <w:noProof/>
                <w:webHidden/>
              </w:rPr>
              <w:fldChar w:fldCharType="end"/>
            </w:r>
          </w:hyperlink>
        </w:p>
        <w:p w14:paraId="3381C9EE" w14:textId="3554ABEC" w:rsidR="0058143B" w:rsidRDefault="001143B4">
          <w:pPr>
            <w:pStyle w:val="TM1"/>
            <w:rPr>
              <w:rFonts w:eastAsiaTheme="minorEastAsia" w:cstheme="minorBidi"/>
              <w:b w:val="0"/>
              <w:noProof/>
              <w:color w:val="auto"/>
              <w:sz w:val="22"/>
              <w:szCs w:val="22"/>
            </w:rPr>
          </w:pPr>
          <w:hyperlink w:anchor="_Toc77686065" w:history="1">
            <w:r w:rsidR="0058143B" w:rsidRPr="0002769E">
              <w:rPr>
                <w:rStyle w:val="Lienhypertexte"/>
                <w:bCs/>
                <w:noProof/>
              </w:rPr>
              <w:t>6.</w:t>
            </w:r>
            <w:r w:rsidR="0058143B">
              <w:rPr>
                <w:rFonts w:eastAsiaTheme="minorEastAsia" w:cstheme="minorBidi"/>
                <w:b w:val="0"/>
                <w:noProof/>
                <w:color w:val="auto"/>
                <w:sz w:val="22"/>
                <w:szCs w:val="22"/>
              </w:rPr>
              <w:tab/>
            </w:r>
            <w:r w:rsidR="0058143B" w:rsidRPr="0002769E">
              <w:rPr>
                <w:rStyle w:val="Lienhypertexte"/>
                <w:noProof/>
              </w:rPr>
              <w:t>Responsable d’Equilibre</w:t>
            </w:r>
            <w:r w:rsidR="0058143B">
              <w:rPr>
                <w:noProof/>
                <w:webHidden/>
              </w:rPr>
              <w:tab/>
            </w:r>
            <w:r w:rsidR="0058143B">
              <w:rPr>
                <w:noProof/>
                <w:webHidden/>
              </w:rPr>
              <w:fldChar w:fldCharType="begin"/>
            </w:r>
            <w:r w:rsidR="0058143B">
              <w:rPr>
                <w:noProof/>
                <w:webHidden/>
              </w:rPr>
              <w:instrText xml:space="preserve"> PAGEREF _Toc77686065 \h </w:instrText>
            </w:r>
            <w:r w:rsidR="0058143B">
              <w:rPr>
                <w:noProof/>
                <w:webHidden/>
              </w:rPr>
            </w:r>
            <w:r w:rsidR="0058143B">
              <w:rPr>
                <w:noProof/>
                <w:webHidden/>
              </w:rPr>
              <w:fldChar w:fldCharType="separate"/>
            </w:r>
            <w:r w:rsidR="0058143B">
              <w:rPr>
                <w:noProof/>
                <w:webHidden/>
              </w:rPr>
              <w:t>21</w:t>
            </w:r>
            <w:r w:rsidR="0058143B">
              <w:rPr>
                <w:noProof/>
                <w:webHidden/>
              </w:rPr>
              <w:fldChar w:fldCharType="end"/>
            </w:r>
          </w:hyperlink>
        </w:p>
        <w:p w14:paraId="152C748C" w14:textId="36DAD8AC" w:rsidR="0058143B" w:rsidRDefault="001143B4">
          <w:pPr>
            <w:pStyle w:val="TM1"/>
            <w:rPr>
              <w:rFonts w:eastAsiaTheme="minorEastAsia" w:cstheme="minorBidi"/>
              <w:b w:val="0"/>
              <w:noProof/>
              <w:color w:val="auto"/>
              <w:sz w:val="22"/>
              <w:szCs w:val="22"/>
            </w:rPr>
          </w:pPr>
          <w:hyperlink w:anchor="_Toc77686066" w:history="1">
            <w:r w:rsidR="0058143B" w:rsidRPr="0002769E">
              <w:rPr>
                <w:rStyle w:val="Lienhypertexte"/>
                <w:bCs/>
                <w:noProof/>
              </w:rPr>
              <w:t>7.</w:t>
            </w:r>
            <w:r w:rsidR="0058143B">
              <w:rPr>
                <w:rFonts w:eastAsiaTheme="minorEastAsia" w:cstheme="minorBidi"/>
                <w:b w:val="0"/>
                <w:noProof/>
                <w:color w:val="auto"/>
                <w:sz w:val="22"/>
                <w:szCs w:val="22"/>
              </w:rPr>
              <w:tab/>
            </w:r>
            <w:r w:rsidR="0058143B" w:rsidRPr="0002769E">
              <w:rPr>
                <w:rStyle w:val="Lienhypertexte"/>
                <w:noProof/>
              </w:rPr>
              <w:t>Tarification de l’accès et de l’utilisation du Réseau Public de Distribution</w:t>
            </w:r>
            <w:r w:rsidR="0058143B">
              <w:rPr>
                <w:noProof/>
                <w:webHidden/>
              </w:rPr>
              <w:tab/>
            </w:r>
            <w:r w:rsidR="0058143B">
              <w:rPr>
                <w:noProof/>
                <w:webHidden/>
              </w:rPr>
              <w:fldChar w:fldCharType="begin"/>
            </w:r>
            <w:r w:rsidR="0058143B">
              <w:rPr>
                <w:noProof/>
                <w:webHidden/>
              </w:rPr>
              <w:instrText xml:space="preserve"> PAGEREF _Toc77686066 \h </w:instrText>
            </w:r>
            <w:r w:rsidR="0058143B">
              <w:rPr>
                <w:noProof/>
                <w:webHidden/>
              </w:rPr>
            </w:r>
            <w:r w:rsidR="0058143B">
              <w:rPr>
                <w:noProof/>
                <w:webHidden/>
              </w:rPr>
              <w:fldChar w:fldCharType="separate"/>
            </w:r>
            <w:r w:rsidR="0058143B">
              <w:rPr>
                <w:noProof/>
                <w:webHidden/>
              </w:rPr>
              <w:t>21</w:t>
            </w:r>
            <w:r w:rsidR="0058143B">
              <w:rPr>
                <w:noProof/>
                <w:webHidden/>
              </w:rPr>
              <w:fldChar w:fldCharType="end"/>
            </w:r>
          </w:hyperlink>
        </w:p>
        <w:p w14:paraId="657FE477" w14:textId="70765328" w:rsidR="0058143B" w:rsidRDefault="001143B4">
          <w:pPr>
            <w:pStyle w:val="TM1"/>
            <w:rPr>
              <w:rFonts w:eastAsiaTheme="minorEastAsia" w:cstheme="minorBidi"/>
              <w:b w:val="0"/>
              <w:noProof/>
              <w:color w:val="auto"/>
              <w:sz w:val="22"/>
              <w:szCs w:val="22"/>
            </w:rPr>
          </w:pPr>
          <w:hyperlink w:anchor="_Toc77686067" w:history="1">
            <w:r w:rsidR="0058143B" w:rsidRPr="0002769E">
              <w:rPr>
                <w:rStyle w:val="Lienhypertexte"/>
                <w:bCs/>
                <w:noProof/>
              </w:rPr>
              <w:t>8.</w:t>
            </w:r>
            <w:r w:rsidR="0058143B">
              <w:rPr>
                <w:rFonts w:eastAsiaTheme="minorEastAsia" w:cstheme="minorBidi"/>
                <w:b w:val="0"/>
                <w:noProof/>
                <w:color w:val="auto"/>
                <w:sz w:val="22"/>
                <w:szCs w:val="22"/>
              </w:rPr>
              <w:tab/>
            </w:r>
            <w:r w:rsidR="0058143B" w:rsidRPr="0002769E">
              <w:rPr>
                <w:rStyle w:val="Lienhypertexte"/>
                <w:noProof/>
              </w:rPr>
              <w:t>Règles de sécurité</w:t>
            </w:r>
            <w:r w:rsidR="0058143B">
              <w:rPr>
                <w:noProof/>
                <w:webHidden/>
              </w:rPr>
              <w:tab/>
            </w:r>
            <w:r w:rsidR="0058143B">
              <w:rPr>
                <w:noProof/>
                <w:webHidden/>
              </w:rPr>
              <w:fldChar w:fldCharType="begin"/>
            </w:r>
            <w:r w:rsidR="0058143B">
              <w:rPr>
                <w:noProof/>
                <w:webHidden/>
              </w:rPr>
              <w:instrText xml:space="preserve"> PAGEREF _Toc77686067 \h </w:instrText>
            </w:r>
            <w:r w:rsidR="0058143B">
              <w:rPr>
                <w:noProof/>
                <w:webHidden/>
              </w:rPr>
            </w:r>
            <w:r w:rsidR="0058143B">
              <w:rPr>
                <w:noProof/>
                <w:webHidden/>
              </w:rPr>
              <w:fldChar w:fldCharType="separate"/>
            </w:r>
            <w:r w:rsidR="0058143B">
              <w:rPr>
                <w:noProof/>
                <w:webHidden/>
              </w:rPr>
              <w:t>22</w:t>
            </w:r>
            <w:r w:rsidR="0058143B">
              <w:rPr>
                <w:noProof/>
                <w:webHidden/>
              </w:rPr>
              <w:fldChar w:fldCharType="end"/>
            </w:r>
          </w:hyperlink>
        </w:p>
        <w:p w14:paraId="766C9F9D" w14:textId="434276D7" w:rsidR="0058143B" w:rsidRDefault="001143B4">
          <w:pPr>
            <w:pStyle w:val="TM2"/>
            <w:rPr>
              <w:rFonts w:eastAsiaTheme="minorEastAsia" w:cstheme="minorBidi"/>
              <w:noProof/>
              <w:color w:val="auto"/>
              <w:szCs w:val="22"/>
            </w:rPr>
          </w:pPr>
          <w:hyperlink w:anchor="_Toc77686068" w:history="1">
            <w:r w:rsidR="0058143B" w:rsidRPr="0002769E">
              <w:rPr>
                <w:rStyle w:val="Lienhypertexte"/>
                <w:noProof/>
              </w:rPr>
              <w:t>8.1.</w:t>
            </w:r>
            <w:r w:rsidR="0058143B">
              <w:rPr>
                <w:rFonts w:eastAsiaTheme="minorEastAsia" w:cstheme="minorBidi"/>
                <w:noProof/>
                <w:color w:val="auto"/>
                <w:szCs w:val="22"/>
              </w:rPr>
              <w:tab/>
            </w:r>
            <w:r w:rsidR="0058143B" w:rsidRPr="0002769E">
              <w:rPr>
                <w:rStyle w:val="Lienhypertexte"/>
                <w:noProof/>
              </w:rPr>
              <w:t>Règles générales de sécurité</w:t>
            </w:r>
            <w:r w:rsidR="0058143B">
              <w:rPr>
                <w:noProof/>
                <w:webHidden/>
              </w:rPr>
              <w:tab/>
            </w:r>
            <w:r w:rsidR="0058143B">
              <w:rPr>
                <w:noProof/>
                <w:webHidden/>
              </w:rPr>
              <w:fldChar w:fldCharType="begin"/>
            </w:r>
            <w:r w:rsidR="0058143B">
              <w:rPr>
                <w:noProof/>
                <w:webHidden/>
              </w:rPr>
              <w:instrText xml:space="preserve"> PAGEREF _Toc77686068 \h </w:instrText>
            </w:r>
            <w:r w:rsidR="0058143B">
              <w:rPr>
                <w:noProof/>
                <w:webHidden/>
              </w:rPr>
            </w:r>
            <w:r w:rsidR="0058143B">
              <w:rPr>
                <w:noProof/>
                <w:webHidden/>
              </w:rPr>
              <w:fldChar w:fldCharType="separate"/>
            </w:r>
            <w:r w:rsidR="0058143B">
              <w:rPr>
                <w:noProof/>
                <w:webHidden/>
              </w:rPr>
              <w:t>22</w:t>
            </w:r>
            <w:r w:rsidR="0058143B">
              <w:rPr>
                <w:noProof/>
                <w:webHidden/>
              </w:rPr>
              <w:fldChar w:fldCharType="end"/>
            </w:r>
          </w:hyperlink>
        </w:p>
        <w:p w14:paraId="403449F0" w14:textId="17351F1C" w:rsidR="0058143B" w:rsidRDefault="001143B4">
          <w:pPr>
            <w:pStyle w:val="TM2"/>
            <w:rPr>
              <w:rFonts w:eastAsiaTheme="minorEastAsia" w:cstheme="minorBidi"/>
              <w:noProof/>
              <w:color w:val="auto"/>
              <w:szCs w:val="22"/>
            </w:rPr>
          </w:pPr>
          <w:hyperlink w:anchor="_Toc77686069" w:history="1">
            <w:r w:rsidR="0058143B" w:rsidRPr="0002769E">
              <w:rPr>
                <w:rStyle w:val="Lienhypertexte"/>
                <w:noProof/>
              </w:rPr>
              <w:t>8.2.</w:t>
            </w:r>
            <w:r w:rsidR="0058143B">
              <w:rPr>
                <w:rFonts w:eastAsiaTheme="minorEastAsia" w:cstheme="minorBidi"/>
                <w:noProof/>
                <w:color w:val="auto"/>
                <w:szCs w:val="22"/>
              </w:rPr>
              <w:tab/>
            </w:r>
            <w:r w:rsidR="0058143B" w:rsidRPr="0002769E">
              <w:rPr>
                <w:rStyle w:val="Lienhypertexte"/>
                <w:noProof/>
              </w:rPr>
              <w:t>Installation électrique intérieure du Client</w:t>
            </w:r>
            <w:r w:rsidR="0058143B">
              <w:rPr>
                <w:noProof/>
                <w:webHidden/>
              </w:rPr>
              <w:tab/>
            </w:r>
            <w:r w:rsidR="0058143B">
              <w:rPr>
                <w:noProof/>
                <w:webHidden/>
              </w:rPr>
              <w:fldChar w:fldCharType="begin"/>
            </w:r>
            <w:r w:rsidR="0058143B">
              <w:rPr>
                <w:noProof/>
                <w:webHidden/>
              </w:rPr>
              <w:instrText xml:space="preserve"> PAGEREF _Toc77686069 \h </w:instrText>
            </w:r>
            <w:r w:rsidR="0058143B">
              <w:rPr>
                <w:noProof/>
                <w:webHidden/>
              </w:rPr>
            </w:r>
            <w:r w:rsidR="0058143B">
              <w:rPr>
                <w:noProof/>
                <w:webHidden/>
              </w:rPr>
              <w:fldChar w:fldCharType="separate"/>
            </w:r>
            <w:r w:rsidR="0058143B">
              <w:rPr>
                <w:noProof/>
                <w:webHidden/>
              </w:rPr>
              <w:t>22</w:t>
            </w:r>
            <w:r w:rsidR="0058143B">
              <w:rPr>
                <w:noProof/>
                <w:webHidden/>
              </w:rPr>
              <w:fldChar w:fldCharType="end"/>
            </w:r>
          </w:hyperlink>
        </w:p>
        <w:p w14:paraId="3105586D" w14:textId="43145124" w:rsidR="0058143B" w:rsidRDefault="001143B4">
          <w:pPr>
            <w:pStyle w:val="TM1"/>
            <w:rPr>
              <w:rFonts w:eastAsiaTheme="minorEastAsia" w:cstheme="minorBidi"/>
              <w:b w:val="0"/>
              <w:noProof/>
              <w:color w:val="auto"/>
              <w:sz w:val="22"/>
              <w:szCs w:val="22"/>
            </w:rPr>
          </w:pPr>
          <w:hyperlink w:anchor="_Toc77686070" w:history="1">
            <w:r w:rsidR="0058143B" w:rsidRPr="0002769E">
              <w:rPr>
                <w:rStyle w:val="Lienhypertexte"/>
                <w:bCs/>
                <w:noProof/>
              </w:rPr>
              <w:t>9.</w:t>
            </w:r>
            <w:r w:rsidR="0058143B">
              <w:rPr>
                <w:rFonts w:eastAsiaTheme="minorEastAsia" w:cstheme="minorBidi"/>
                <w:b w:val="0"/>
                <w:noProof/>
                <w:color w:val="auto"/>
                <w:sz w:val="22"/>
                <w:szCs w:val="22"/>
              </w:rPr>
              <w:tab/>
            </w:r>
            <w:r w:rsidR="0058143B" w:rsidRPr="0002769E">
              <w:rPr>
                <w:rStyle w:val="Lienhypertexte"/>
                <w:noProof/>
              </w:rPr>
              <w:t>Responsabilité</w:t>
            </w:r>
            <w:r w:rsidR="0058143B">
              <w:rPr>
                <w:noProof/>
                <w:webHidden/>
              </w:rPr>
              <w:tab/>
            </w:r>
            <w:r w:rsidR="0058143B">
              <w:rPr>
                <w:noProof/>
                <w:webHidden/>
              </w:rPr>
              <w:fldChar w:fldCharType="begin"/>
            </w:r>
            <w:r w:rsidR="0058143B">
              <w:rPr>
                <w:noProof/>
                <w:webHidden/>
              </w:rPr>
              <w:instrText xml:space="preserve"> PAGEREF _Toc77686070 \h </w:instrText>
            </w:r>
            <w:r w:rsidR="0058143B">
              <w:rPr>
                <w:noProof/>
                <w:webHidden/>
              </w:rPr>
            </w:r>
            <w:r w:rsidR="0058143B">
              <w:rPr>
                <w:noProof/>
                <w:webHidden/>
              </w:rPr>
              <w:fldChar w:fldCharType="separate"/>
            </w:r>
            <w:r w:rsidR="0058143B">
              <w:rPr>
                <w:noProof/>
                <w:webHidden/>
              </w:rPr>
              <w:t>23</w:t>
            </w:r>
            <w:r w:rsidR="0058143B">
              <w:rPr>
                <w:noProof/>
                <w:webHidden/>
              </w:rPr>
              <w:fldChar w:fldCharType="end"/>
            </w:r>
          </w:hyperlink>
        </w:p>
        <w:p w14:paraId="351E1814" w14:textId="50F77394" w:rsidR="0058143B" w:rsidRDefault="001143B4">
          <w:pPr>
            <w:pStyle w:val="TM2"/>
            <w:rPr>
              <w:rFonts w:eastAsiaTheme="minorEastAsia" w:cstheme="minorBidi"/>
              <w:noProof/>
              <w:color w:val="auto"/>
              <w:szCs w:val="22"/>
            </w:rPr>
          </w:pPr>
          <w:hyperlink w:anchor="_Toc77686071" w:history="1">
            <w:r w:rsidR="0058143B" w:rsidRPr="0002769E">
              <w:rPr>
                <w:rStyle w:val="Lienhypertexte"/>
                <w:noProof/>
              </w:rPr>
              <w:t>9.1.</w:t>
            </w:r>
            <w:r w:rsidR="0058143B">
              <w:rPr>
                <w:rFonts w:eastAsiaTheme="minorEastAsia" w:cstheme="minorBidi"/>
                <w:noProof/>
                <w:color w:val="auto"/>
                <w:szCs w:val="22"/>
              </w:rPr>
              <w:tab/>
            </w:r>
            <w:r w:rsidR="0058143B" w:rsidRPr="0002769E">
              <w:rPr>
                <w:rStyle w:val="Lienhypertexte"/>
                <w:noProof/>
              </w:rPr>
              <w:t>Responsabilité du GRD vis-à-vis du Client</w:t>
            </w:r>
            <w:r w:rsidR="0058143B">
              <w:rPr>
                <w:noProof/>
                <w:webHidden/>
              </w:rPr>
              <w:tab/>
            </w:r>
            <w:r w:rsidR="0058143B">
              <w:rPr>
                <w:noProof/>
                <w:webHidden/>
              </w:rPr>
              <w:fldChar w:fldCharType="begin"/>
            </w:r>
            <w:r w:rsidR="0058143B">
              <w:rPr>
                <w:noProof/>
                <w:webHidden/>
              </w:rPr>
              <w:instrText xml:space="preserve"> PAGEREF _Toc77686071 \h </w:instrText>
            </w:r>
            <w:r w:rsidR="0058143B">
              <w:rPr>
                <w:noProof/>
                <w:webHidden/>
              </w:rPr>
            </w:r>
            <w:r w:rsidR="0058143B">
              <w:rPr>
                <w:noProof/>
                <w:webHidden/>
              </w:rPr>
              <w:fldChar w:fldCharType="separate"/>
            </w:r>
            <w:r w:rsidR="0058143B">
              <w:rPr>
                <w:noProof/>
                <w:webHidden/>
              </w:rPr>
              <w:t>23</w:t>
            </w:r>
            <w:r w:rsidR="0058143B">
              <w:rPr>
                <w:noProof/>
                <w:webHidden/>
              </w:rPr>
              <w:fldChar w:fldCharType="end"/>
            </w:r>
          </w:hyperlink>
        </w:p>
        <w:p w14:paraId="5E8E7FDF" w14:textId="14B41214" w:rsidR="0058143B" w:rsidRDefault="001143B4">
          <w:pPr>
            <w:pStyle w:val="TM3"/>
            <w:tabs>
              <w:tab w:val="left" w:pos="1701"/>
            </w:tabs>
            <w:rPr>
              <w:rFonts w:eastAsiaTheme="minorEastAsia" w:cstheme="minorBidi"/>
              <w:b w:val="0"/>
              <w:noProof/>
              <w:color w:val="auto"/>
              <w:sz w:val="22"/>
              <w:szCs w:val="22"/>
            </w:rPr>
          </w:pPr>
          <w:hyperlink w:anchor="_Toc77686072" w:history="1">
            <w:r w:rsidR="0058143B" w:rsidRPr="0002769E">
              <w:rPr>
                <w:rStyle w:val="Lienhypertexte"/>
                <w:noProof/>
              </w:rPr>
              <w:t>9.1.1.</w:t>
            </w:r>
            <w:r w:rsidR="0058143B">
              <w:rPr>
                <w:rFonts w:eastAsiaTheme="minorEastAsia" w:cstheme="minorBidi"/>
                <w:b w:val="0"/>
                <w:noProof/>
                <w:color w:val="auto"/>
                <w:sz w:val="22"/>
                <w:szCs w:val="22"/>
              </w:rPr>
              <w:tab/>
            </w:r>
            <w:r w:rsidR="0058143B" w:rsidRPr="0002769E">
              <w:rPr>
                <w:rStyle w:val="Lienhypertexte"/>
                <w:noProof/>
              </w:rPr>
              <w:t>Engagement et responsabilité du GRD vis-à-vis du Client</w:t>
            </w:r>
            <w:r w:rsidR="0058143B">
              <w:rPr>
                <w:noProof/>
                <w:webHidden/>
              </w:rPr>
              <w:tab/>
            </w:r>
            <w:r w:rsidR="0058143B">
              <w:rPr>
                <w:noProof/>
                <w:webHidden/>
              </w:rPr>
              <w:fldChar w:fldCharType="begin"/>
            </w:r>
            <w:r w:rsidR="0058143B">
              <w:rPr>
                <w:noProof/>
                <w:webHidden/>
              </w:rPr>
              <w:instrText xml:space="preserve"> PAGEREF _Toc77686072 \h </w:instrText>
            </w:r>
            <w:r w:rsidR="0058143B">
              <w:rPr>
                <w:noProof/>
                <w:webHidden/>
              </w:rPr>
            </w:r>
            <w:r w:rsidR="0058143B">
              <w:rPr>
                <w:noProof/>
                <w:webHidden/>
              </w:rPr>
              <w:fldChar w:fldCharType="separate"/>
            </w:r>
            <w:r w:rsidR="0058143B">
              <w:rPr>
                <w:noProof/>
                <w:webHidden/>
              </w:rPr>
              <w:t>23</w:t>
            </w:r>
            <w:r w:rsidR="0058143B">
              <w:rPr>
                <w:noProof/>
                <w:webHidden/>
              </w:rPr>
              <w:fldChar w:fldCharType="end"/>
            </w:r>
          </w:hyperlink>
        </w:p>
        <w:p w14:paraId="1BCC683A" w14:textId="6C2578F5" w:rsidR="0058143B" w:rsidRDefault="001143B4">
          <w:pPr>
            <w:pStyle w:val="TM3"/>
            <w:tabs>
              <w:tab w:val="left" w:pos="1701"/>
            </w:tabs>
            <w:rPr>
              <w:rFonts w:eastAsiaTheme="minorEastAsia" w:cstheme="minorBidi"/>
              <w:b w:val="0"/>
              <w:noProof/>
              <w:color w:val="auto"/>
              <w:sz w:val="22"/>
              <w:szCs w:val="22"/>
            </w:rPr>
          </w:pPr>
          <w:hyperlink w:anchor="_Toc77686073" w:history="1">
            <w:r w:rsidR="0058143B" w:rsidRPr="0002769E">
              <w:rPr>
                <w:rStyle w:val="Lienhypertexte"/>
                <w:noProof/>
              </w:rPr>
              <w:t>9.1.2.</w:t>
            </w:r>
            <w:r w:rsidR="0058143B">
              <w:rPr>
                <w:rFonts w:eastAsiaTheme="minorEastAsia" w:cstheme="minorBidi"/>
                <w:b w:val="0"/>
                <w:noProof/>
                <w:color w:val="auto"/>
                <w:sz w:val="22"/>
                <w:szCs w:val="22"/>
              </w:rPr>
              <w:tab/>
            </w:r>
            <w:r w:rsidR="0058143B" w:rsidRPr="0002769E">
              <w:rPr>
                <w:rStyle w:val="Lienhypertexte"/>
                <w:noProof/>
              </w:rPr>
              <w:t>Traitement des réclamations du Client</w:t>
            </w:r>
            <w:r w:rsidR="0058143B">
              <w:rPr>
                <w:noProof/>
                <w:webHidden/>
              </w:rPr>
              <w:tab/>
            </w:r>
            <w:r w:rsidR="0058143B">
              <w:rPr>
                <w:noProof/>
                <w:webHidden/>
              </w:rPr>
              <w:fldChar w:fldCharType="begin"/>
            </w:r>
            <w:r w:rsidR="0058143B">
              <w:rPr>
                <w:noProof/>
                <w:webHidden/>
              </w:rPr>
              <w:instrText xml:space="preserve"> PAGEREF _Toc77686073 \h </w:instrText>
            </w:r>
            <w:r w:rsidR="0058143B">
              <w:rPr>
                <w:noProof/>
                <w:webHidden/>
              </w:rPr>
            </w:r>
            <w:r w:rsidR="0058143B">
              <w:rPr>
                <w:noProof/>
                <w:webHidden/>
              </w:rPr>
              <w:fldChar w:fldCharType="separate"/>
            </w:r>
            <w:r w:rsidR="0058143B">
              <w:rPr>
                <w:noProof/>
                <w:webHidden/>
              </w:rPr>
              <w:t>23</w:t>
            </w:r>
            <w:r w:rsidR="0058143B">
              <w:rPr>
                <w:noProof/>
                <w:webHidden/>
              </w:rPr>
              <w:fldChar w:fldCharType="end"/>
            </w:r>
          </w:hyperlink>
        </w:p>
        <w:p w14:paraId="0BC74739" w14:textId="230D98E8" w:rsidR="0058143B" w:rsidRDefault="001143B4">
          <w:pPr>
            <w:pStyle w:val="TM2"/>
            <w:rPr>
              <w:rFonts w:eastAsiaTheme="minorEastAsia" w:cstheme="minorBidi"/>
              <w:noProof/>
              <w:color w:val="auto"/>
              <w:szCs w:val="22"/>
            </w:rPr>
          </w:pPr>
          <w:hyperlink w:anchor="_Toc77686074" w:history="1">
            <w:r w:rsidR="0058143B" w:rsidRPr="0002769E">
              <w:rPr>
                <w:rStyle w:val="Lienhypertexte"/>
                <w:noProof/>
              </w:rPr>
              <w:t>9.2.</w:t>
            </w:r>
            <w:r w:rsidR="0058143B">
              <w:rPr>
                <w:rFonts w:eastAsiaTheme="minorEastAsia" w:cstheme="minorBidi"/>
                <w:noProof/>
                <w:color w:val="auto"/>
                <w:szCs w:val="22"/>
              </w:rPr>
              <w:tab/>
            </w:r>
            <w:r w:rsidR="0058143B" w:rsidRPr="0002769E">
              <w:rPr>
                <w:rStyle w:val="Lienhypertexte"/>
                <w:noProof/>
              </w:rPr>
              <w:t>Responsabilité du Client vis-vis du GRD</w:t>
            </w:r>
            <w:r w:rsidR="0058143B">
              <w:rPr>
                <w:noProof/>
                <w:webHidden/>
              </w:rPr>
              <w:tab/>
            </w:r>
            <w:r w:rsidR="0058143B">
              <w:rPr>
                <w:noProof/>
                <w:webHidden/>
              </w:rPr>
              <w:fldChar w:fldCharType="begin"/>
            </w:r>
            <w:r w:rsidR="0058143B">
              <w:rPr>
                <w:noProof/>
                <w:webHidden/>
              </w:rPr>
              <w:instrText xml:space="preserve"> PAGEREF _Toc77686074 \h </w:instrText>
            </w:r>
            <w:r w:rsidR="0058143B">
              <w:rPr>
                <w:noProof/>
                <w:webHidden/>
              </w:rPr>
            </w:r>
            <w:r w:rsidR="0058143B">
              <w:rPr>
                <w:noProof/>
                <w:webHidden/>
              </w:rPr>
              <w:fldChar w:fldCharType="separate"/>
            </w:r>
            <w:r w:rsidR="0058143B">
              <w:rPr>
                <w:noProof/>
                <w:webHidden/>
              </w:rPr>
              <w:t>25</w:t>
            </w:r>
            <w:r w:rsidR="0058143B">
              <w:rPr>
                <w:noProof/>
                <w:webHidden/>
              </w:rPr>
              <w:fldChar w:fldCharType="end"/>
            </w:r>
          </w:hyperlink>
        </w:p>
        <w:p w14:paraId="77041A7D" w14:textId="0A79A14E" w:rsidR="0058143B" w:rsidRDefault="001143B4">
          <w:pPr>
            <w:pStyle w:val="TM2"/>
            <w:rPr>
              <w:rFonts w:eastAsiaTheme="minorEastAsia" w:cstheme="minorBidi"/>
              <w:noProof/>
              <w:color w:val="auto"/>
              <w:szCs w:val="22"/>
            </w:rPr>
          </w:pPr>
          <w:hyperlink w:anchor="_Toc77686075" w:history="1">
            <w:r w:rsidR="0058143B" w:rsidRPr="0002769E">
              <w:rPr>
                <w:rStyle w:val="Lienhypertexte"/>
                <w:noProof/>
              </w:rPr>
              <w:t>9.3.</w:t>
            </w:r>
            <w:r w:rsidR="0058143B">
              <w:rPr>
                <w:rFonts w:eastAsiaTheme="minorEastAsia" w:cstheme="minorBidi"/>
                <w:noProof/>
                <w:color w:val="auto"/>
                <w:szCs w:val="22"/>
              </w:rPr>
              <w:tab/>
            </w:r>
            <w:r w:rsidR="0058143B" w:rsidRPr="0002769E">
              <w:rPr>
                <w:rStyle w:val="Lienhypertexte"/>
                <w:noProof/>
              </w:rPr>
              <w:t>Régime perturbé et force majeure</w:t>
            </w:r>
            <w:r w:rsidR="0058143B">
              <w:rPr>
                <w:noProof/>
                <w:webHidden/>
              </w:rPr>
              <w:tab/>
            </w:r>
            <w:r w:rsidR="0058143B">
              <w:rPr>
                <w:noProof/>
                <w:webHidden/>
              </w:rPr>
              <w:fldChar w:fldCharType="begin"/>
            </w:r>
            <w:r w:rsidR="0058143B">
              <w:rPr>
                <w:noProof/>
                <w:webHidden/>
              </w:rPr>
              <w:instrText xml:space="preserve"> PAGEREF _Toc77686075 \h </w:instrText>
            </w:r>
            <w:r w:rsidR="0058143B">
              <w:rPr>
                <w:noProof/>
                <w:webHidden/>
              </w:rPr>
            </w:r>
            <w:r w:rsidR="0058143B">
              <w:rPr>
                <w:noProof/>
                <w:webHidden/>
              </w:rPr>
              <w:fldChar w:fldCharType="separate"/>
            </w:r>
            <w:r w:rsidR="0058143B">
              <w:rPr>
                <w:noProof/>
                <w:webHidden/>
              </w:rPr>
              <w:t>25</w:t>
            </w:r>
            <w:r w:rsidR="0058143B">
              <w:rPr>
                <w:noProof/>
                <w:webHidden/>
              </w:rPr>
              <w:fldChar w:fldCharType="end"/>
            </w:r>
          </w:hyperlink>
        </w:p>
        <w:p w14:paraId="737923DE" w14:textId="60FE1755" w:rsidR="0058143B" w:rsidRDefault="001143B4">
          <w:pPr>
            <w:pStyle w:val="TM3"/>
            <w:tabs>
              <w:tab w:val="left" w:pos="1701"/>
            </w:tabs>
            <w:rPr>
              <w:rFonts w:eastAsiaTheme="minorEastAsia" w:cstheme="minorBidi"/>
              <w:b w:val="0"/>
              <w:noProof/>
              <w:color w:val="auto"/>
              <w:sz w:val="22"/>
              <w:szCs w:val="22"/>
            </w:rPr>
          </w:pPr>
          <w:hyperlink w:anchor="_Toc77686076" w:history="1">
            <w:r w:rsidR="0058143B" w:rsidRPr="0002769E">
              <w:rPr>
                <w:rStyle w:val="Lienhypertexte"/>
                <w:noProof/>
              </w:rPr>
              <w:t>9.3.1.</w:t>
            </w:r>
            <w:r w:rsidR="0058143B">
              <w:rPr>
                <w:rFonts w:eastAsiaTheme="minorEastAsia" w:cstheme="minorBidi"/>
                <w:b w:val="0"/>
                <w:noProof/>
                <w:color w:val="auto"/>
                <w:sz w:val="22"/>
                <w:szCs w:val="22"/>
              </w:rPr>
              <w:tab/>
            </w:r>
            <w:r w:rsidR="0058143B" w:rsidRPr="0002769E">
              <w:rPr>
                <w:rStyle w:val="Lienhypertexte"/>
                <w:noProof/>
              </w:rPr>
              <w:t>Définition</w:t>
            </w:r>
            <w:r w:rsidR="0058143B">
              <w:rPr>
                <w:noProof/>
                <w:webHidden/>
              </w:rPr>
              <w:tab/>
            </w:r>
            <w:r w:rsidR="0058143B">
              <w:rPr>
                <w:noProof/>
                <w:webHidden/>
              </w:rPr>
              <w:fldChar w:fldCharType="begin"/>
            </w:r>
            <w:r w:rsidR="0058143B">
              <w:rPr>
                <w:noProof/>
                <w:webHidden/>
              </w:rPr>
              <w:instrText xml:space="preserve"> PAGEREF _Toc77686076 \h </w:instrText>
            </w:r>
            <w:r w:rsidR="0058143B">
              <w:rPr>
                <w:noProof/>
                <w:webHidden/>
              </w:rPr>
            </w:r>
            <w:r w:rsidR="0058143B">
              <w:rPr>
                <w:noProof/>
                <w:webHidden/>
              </w:rPr>
              <w:fldChar w:fldCharType="separate"/>
            </w:r>
            <w:r w:rsidR="0058143B">
              <w:rPr>
                <w:noProof/>
                <w:webHidden/>
              </w:rPr>
              <w:t>25</w:t>
            </w:r>
            <w:r w:rsidR="0058143B">
              <w:rPr>
                <w:noProof/>
                <w:webHidden/>
              </w:rPr>
              <w:fldChar w:fldCharType="end"/>
            </w:r>
          </w:hyperlink>
        </w:p>
        <w:p w14:paraId="09620299" w14:textId="44299B74" w:rsidR="0058143B" w:rsidRDefault="001143B4">
          <w:pPr>
            <w:pStyle w:val="TM3"/>
            <w:tabs>
              <w:tab w:val="left" w:pos="1701"/>
            </w:tabs>
            <w:rPr>
              <w:rFonts w:eastAsiaTheme="minorEastAsia" w:cstheme="minorBidi"/>
              <w:b w:val="0"/>
              <w:noProof/>
              <w:color w:val="auto"/>
              <w:sz w:val="22"/>
              <w:szCs w:val="22"/>
            </w:rPr>
          </w:pPr>
          <w:hyperlink w:anchor="_Toc77686077" w:history="1">
            <w:r w:rsidR="0058143B" w:rsidRPr="0002769E">
              <w:rPr>
                <w:rStyle w:val="Lienhypertexte"/>
                <w:noProof/>
              </w:rPr>
              <w:t>9.3.2.</w:t>
            </w:r>
            <w:r w:rsidR="0058143B">
              <w:rPr>
                <w:rFonts w:eastAsiaTheme="minorEastAsia" w:cstheme="minorBidi"/>
                <w:b w:val="0"/>
                <w:noProof/>
                <w:color w:val="auto"/>
                <w:sz w:val="22"/>
                <w:szCs w:val="22"/>
              </w:rPr>
              <w:tab/>
            </w:r>
            <w:r w:rsidR="0058143B" w:rsidRPr="0002769E">
              <w:rPr>
                <w:rStyle w:val="Lienhypertexte"/>
                <w:noProof/>
              </w:rPr>
              <w:t>Régime juridique</w:t>
            </w:r>
            <w:r w:rsidR="0058143B">
              <w:rPr>
                <w:noProof/>
                <w:webHidden/>
              </w:rPr>
              <w:tab/>
            </w:r>
            <w:r w:rsidR="0058143B">
              <w:rPr>
                <w:noProof/>
                <w:webHidden/>
              </w:rPr>
              <w:fldChar w:fldCharType="begin"/>
            </w:r>
            <w:r w:rsidR="0058143B">
              <w:rPr>
                <w:noProof/>
                <w:webHidden/>
              </w:rPr>
              <w:instrText xml:space="preserve"> PAGEREF _Toc77686077 \h </w:instrText>
            </w:r>
            <w:r w:rsidR="0058143B">
              <w:rPr>
                <w:noProof/>
                <w:webHidden/>
              </w:rPr>
            </w:r>
            <w:r w:rsidR="0058143B">
              <w:rPr>
                <w:noProof/>
                <w:webHidden/>
              </w:rPr>
              <w:fldChar w:fldCharType="separate"/>
            </w:r>
            <w:r w:rsidR="0058143B">
              <w:rPr>
                <w:noProof/>
                <w:webHidden/>
              </w:rPr>
              <w:t>25</w:t>
            </w:r>
            <w:r w:rsidR="0058143B">
              <w:rPr>
                <w:noProof/>
                <w:webHidden/>
              </w:rPr>
              <w:fldChar w:fldCharType="end"/>
            </w:r>
          </w:hyperlink>
        </w:p>
        <w:p w14:paraId="100A604E" w14:textId="782B6863" w:rsidR="0058143B" w:rsidRDefault="001143B4">
          <w:pPr>
            <w:pStyle w:val="TM1"/>
            <w:rPr>
              <w:rFonts w:eastAsiaTheme="minorEastAsia" w:cstheme="minorBidi"/>
              <w:b w:val="0"/>
              <w:noProof/>
              <w:color w:val="auto"/>
              <w:sz w:val="22"/>
              <w:szCs w:val="22"/>
            </w:rPr>
          </w:pPr>
          <w:hyperlink w:anchor="_Toc77686078" w:history="1">
            <w:r w:rsidR="0058143B" w:rsidRPr="0002769E">
              <w:rPr>
                <w:rStyle w:val="Lienhypertexte"/>
                <w:bCs/>
                <w:noProof/>
              </w:rPr>
              <w:t>10.</w:t>
            </w:r>
            <w:r w:rsidR="0058143B">
              <w:rPr>
                <w:rFonts w:eastAsiaTheme="minorEastAsia" w:cstheme="minorBidi"/>
                <w:b w:val="0"/>
                <w:noProof/>
                <w:color w:val="auto"/>
                <w:sz w:val="22"/>
                <w:szCs w:val="22"/>
              </w:rPr>
              <w:tab/>
            </w:r>
            <w:r w:rsidR="0058143B" w:rsidRPr="0002769E">
              <w:rPr>
                <w:rStyle w:val="Lienhypertexte"/>
                <w:noProof/>
              </w:rPr>
              <w:t>Application des présentes dispositions générales</w:t>
            </w:r>
            <w:r w:rsidR="0058143B">
              <w:rPr>
                <w:noProof/>
                <w:webHidden/>
              </w:rPr>
              <w:tab/>
            </w:r>
            <w:r w:rsidR="0058143B">
              <w:rPr>
                <w:noProof/>
                <w:webHidden/>
              </w:rPr>
              <w:fldChar w:fldCharType="begin"/>
            </w:r>
            <w:r w:rsidR="0058143B">
              <w:rPr>
                <w:noProof/>
                <w:webHidden/>
              </w:rPr>
              <w:instrText xml:space="preserve"> PAGEREF _Toc77686078 \h </w:instrText>
            </w:r>
            <w:r w:rsidR="0058143B">
              <w:rPr>
                <w:noProof/>
                <w:webHidden/>
              </w:rPr>
            </w:r>
            <w:r w:rsidR="0058143B">
              <w:rPr>
                <w:noProof/>
                <w:webHidden/>
              </w:rPr>
              <w:fldChar w:fldCharType="separate"/>
            </w:r>
            <w:r w:rsidR="0058143B">
              <w:rPr>
                <w:noProof/>
                <w:webHidden/>
              </w:rPr>
              <w:t>26</w:t>
            </w:r>
            <w:r w:rsidR="0058143B">
              <w:rPr>
                <w:noProof/>
                <w:webHidden/>
              </w:rPr>
              <w:fldChar w:fldCharType="end"/>
            </w:r>
          </w:hyperlink>
        </w:p>
        <w:p w14:paraId="791D5711" w14:textId="224C84DB" w:rsidR="0058143B" w:rsidRDefault="001143B4">
          <w:pPr>
            <w:pStyle w:val="TM2"/>
            <w:rPr>
              <w:rFonts w:eastAsiaTheme="minorEastAsia" w:cstheme="minorBidi"/>
              <w:noProof/>
              <w:color w:val="auto"/>
              <w:szCs w:val="22"/>
            </w:rPr>
          </w:pPr>
          <w:hyperlink w:anchor="_Toc77686079" w:history="1">
            <w:r w:rsidR="0058143B" w:rsidRPr="0002769E">
              <w:rPr>
                <w:rStyle w:val="Lienhypertexte"/>
                <w:noProof/>
              </w:rPr>
              <w:t>10.1.</w:t>
            </w:r>
            <w:r w:rsidR="0058143B">
              <w:rPr>
                <w:rFonts w:eastAsiaTheme="minorEastAsia" w:cstheme="minorBidi"/>
                <w:noProof/>
                <w:color w:val="auto"/>
                <w:szCs w:val="22"/>
              </w:rPr>
              <w:tab/>
            </w:r>
            <w:r w:rsidR="0058143B" w:rsidRPr="0002769E">
              <w:rPr>
                <w:rStyle w:val="Lienhypertexte"/>
                <w:noProof/>
              </w:rPr>
              <w:t>Adaptation</w:t>
            </w:r>
            <w:r w:rsidR="0058143B">
              <w:rPr>
                <w:noProof/>
                <w:webHidden/>
              </w:rPr>
              <w:tab/>
            </w:r>
            <w:r w:rsidR="0058143B">
              <w:rPr>
                <w:noProof/>
                <w:webHidden/>
              </w:rPr>
              <w:fldChar w:fldCharType="begin"/>
            </w:r>
            <w:r w:rsidR="0058143B">
              <w:rPr>
                <w:noProof/>
                <w:webHidden/>
              </w:rPr>
              <w:instrText xml:space="preserve"> PAGEREF _Toc77686079 \h </w:instrText>
            </w:r>
            <w:r w:rsidR="0058143B">
              <w:rPr>
                <w:noProof/>
                <w:webHidden/>
              </w:rPr>
            </w:r>
            <w:r w:rsidR="0058143B">
              <w:rPr>
                <w:noProof/>
                <w:webHidden/>
              </w:rPr>
              <w:fldChar w:fldCharType="separate"/>
            </w:r>
            <w:r w:rsidR="0058143B">
              <w:rPr>
                <w:noProof/>
                <w:webHidden/>
              </w:rPr>
              <w:t>26</w:t>
            </w:r>
            <w:r w:rsidR="0058143B">
              <w:rPr>
                <w:noProof/>
                <w:webHidden/>
              </w:rPr>
              <w:fldChar w:fldCharType="end"/>
            </w:r>
          </w:hyperlink>
        </w:p>
        <w:p w14:paraId="75A212FF" w14:textId="338BA2C5" w:rsidR="0058143B" w:rsidRDefault="001143B4">
          <w:pPr>
            <w:pStyle w:val="TM2"/>
            <w:rPr>
              <w:rFonts w:eastAsiaTheme="minorEastAsia" w:cstheme="minorBidi"/>
              <w:noProof/>
              <w:color w:val="auto"/>
              <w:szCs w:val="22"/>
            </w:rPr>
          </w:pPr>
          <w:hyperlink w:anchor="_Toc77686080" w:history="1">
            <w:r w:rsidR="0058143B" w:rsidRPr="0002769E">
              <w:rPr>
                <w:rStyle w:val="Lienhypertexte"/>
                <w:noProof/>
              </w:rPr>
              <w:t>10.2.</w:t>
            </w:r>
            <w:r w:rsidR="0058143B">
              <w:rPr>
                <w:rFonts w:eastAsiaTheme="minorEastAsia" w:cstheme="minorBidi"/>
                <w:noProof/>
                <w:color w:val="auto"/>
                <w:szCs w:val="22"/>
              </w:rPr>
              <w:tab/>
            </w:r>
            <w:r w:rsidR="0058143B" w:rsidRPr="0002769E">
              <w:rPr>
                <w:rStyle w:val="Lienhypertexte"/>
                <w:noProof/>
              </w:rPr>
              <w:t>Suspension de l’accès au Réseau Public de Distribution à la demande du Fournisseur</w:t>
            </w:r>
            <w:r w:rsidR="0058143B">
              <w:rPr>
                <w:noProof/>
                <w:webHidden/>
              </w:rPr>
              <w:tab/>
            </w:r>
            <w:r w:rsidR="0058143B">
              <w:rPr>
                <w:noProof/>
                <w:webHidden/>
              </w:rPr>
              <w:fldChar w:fldCharType="begin"/>
            </w:r>
            <w:r w:rsidR="0058143B">
              <w:rPr>
                <w:noProof/>
                <w:webHidden/>
              </w:rPr>
              <w:instrText xml:space="preserve"> PAGEREF _Toc77686080 \h </w:instrText>
            </w:r>
            <w:r w:rsidR="0058143B">
              <w:rPr>
                <w:noProof/>
                <w:webHidden/>
              </w:rPr>
            </w:r>
            <w:r w:rsidR="0058143B">
              <w:rPr>
                <w:noProof/>
                <w:webHidden/>
              </w:rPr>
              <w:fldChar w:fldCharType="separate"/>
            </w:r>
            <w:r w:rsidR="0058143B">
              <w:rPr>
                <w:noProof/>
                <w:webHidden/>
              </w:rPr>
              <w:t>26</w:t>
            </w:r>
            <w:r w:rsidR="0058143B">
              <w:rPr>
                <w:noProof/>
                <w:webHidden/>
              </w:rPr>
              <w:fldChar w:fldCharType="end"/>
            </w:r>
          </w:hyperlink>
        </w:p>
        <w:p w14:paraId="65BFA929" w14:textId="4962B397" w:rsidR="0058143B" w:rsidRDefault="001143B4">
          <w:pPr>
            <w:pStyle w:val="TM2"/>
            <w:rPr>
              <w:rFonts w:eastAsiaTheme="minorEastAsia" w:cstheme="minorBidi"/>
              <w:noProof/>
              <w:color w:val="auto"/>
              <w:szCs w:val="22"/>
            </w:rPr>
          </w:pPr>
          <w:hyperlink w:anchor="_Toc77686081" w:history="1">
            <w:r w:rsidR="0058143B" w:rsidRPr="0002769E">
              <w:rPr>
                <w:rStyle w:val="Lienhypertexte"/>
                <w:noProof/>
              </w:rPr>
              <w:t>10.3.</w:t>
            </w:r>
            <w:r w:rsidR="0058143B">
              <w:rPr>
                <w:rFonts w:eastAsiaTheme="minorEastAsia" w:cstheme="minorBidi"/>
                <w:noProof/>
                <w:color w:val="auto"/>
                <w:szCs w:val="22"/>
              </w:rPr>
              <w:tab/>
            </w:r>
            <w:r w:rsidR="0058143B" w:rsidRPr="0002769E">
              <w:rPr>
                <w:rStyle w:val="Lienhypertexte"/>
                <w:noProof/>
              </w:rPr>
              <w:t>Suspension de l’accès au Réseau Public de Distribution à l’initiative du GRD</w:t>
            </w:r>
            <w:r w:rsidR="0058143B">
              <w:rPr>
                <w:noProof/>
                <w:webHidden/>
              </w:rPr>
              <w:tab/>
            </w:r>
            <w:r w:rsidR="0058143B">
              <w:rPr>
                <w:noProof/>
                <w:webHidden/>
              </w:rPr>
              <w:fldChar w:fldCharType="begin"/>
            </w:r>
            <w:r w:rsidR="0058143B">
              <w:rPr>
                <w:noProof/>
                <w:webHidden/>
              </w:rPr>
              <w:instrText xml:space="preserve"> PAGEREF _Toc77686081 \h </w:instrText>
            </w:r>
            <w:r w:rsidR="0058143B">
              <w:rPr>
                <w:noProof/>
                <w:webHidden/>
              </w:rPr>
            </w:r>
            <w:r w:rsidR="0058143B">
              <w:rPr>
                <w:noProof/>
                <w:webHidden/>
              </w:rPr>
              <w:fldChar w:fldCharType="separate"/>
            </w:r>
            <w:r w:rsidR="0058143B">
              <w:rPr>
                <w:noProof/>
                <w:webHidden/>
              </w:rPr>
              <w:t>26</w:t>
            </w:r>
            <w:r w:rsidR="0058143B">
              <w:rPr>
                <w:noProof/>
                <w:webHidden/>
              </w:rPr>
              <w:fldChar w:fldCharType="end"/>
            </w:r>
          </w:hyperlink>
        </w:p>
        <w:p w14:paraId="04C972B9" w14:textId="63C7075B" w:rsidR="0058143B" w:rsidRDefault="001143B4">
          <w:pPr>
            <w:pStyle w:val="TM2"/>
            <w:rPr>
              <w:rFonts w:eastAsiaTheme="minorEastAsia" w:cstheme="minorBidi"/>
              <w:noProof/>
              <w:color w:val="auto"/>
              <w:szCs w:val="22"/>
            </w:rPr>
          </w:pPr>
          <w:hyperlink w:anchor="_Toc77686082" w:history="1">
            <w:r w:rsidR="0058143B" w:rsidRPr="0002769E">
              <w:rPr>
                <w:rStyle w:val="Lienhypertexte"/>
                <w:noProof/>
              </w:rPr>
              <w:t>10.4.</w:t>
            </w:r>
            <w:r w:rsidR="0058143B">
              <w:rPr>
                <w:rFonts w:eastAsiaTheme="minorEastAsia" w:cstheme="minorBidi"/>
                <w:noProof/>
                <w:color w:val="auto"/>
                <w:szCs w:val="22"/>
              </w:rPr>
              <w:tab/>
            </w:r>
            <w:r w:rsidR="0058143B" w:rsidRPr="0002769E">
              <w:rPr>
                <w:rStyle w:val="Lienhypertexte"/>
                <w:noProof/>
              </w:rPr>
              <w:t>Résiliation d’un Contrat Unique à l’initiative du Client</w:t>
            </w:r>
            <w:r w:rsidR="0058143B">
              <w:rPr>
                <w:noProof/>
                <w:webHidden/>
              </w:rPr>
              <w:tab/>
            </w:r>
            <w:r w:rsidR="0058143B">
              <w:rPr>
                <w:noProof/>
                <w:webHidden/>
              </w:rPr>
              <w:fldChar w:fldCharType="begin"/>
            </w:r>
            <w:r w:rsidR="0058143B">
              <w:rPr>
                <w:noProof/>
                <w:webHidden/>
              </w:rPr>
              <w:instrText xml:space="preserve"> PAGEREF _Toc77686082 \h </w:instrText>
            </w:r>
            <w:r w:rsidR="0058143B">
              <w:rPr>
                <w:noProof/>
                <w:webHidden/>
              </w:rPr>
            </w:r>
            <w:r w:rsidR="0058143B">
              <w:rPr>
                <w:noProof/>
                <w:webHidden/>
              </w:rPr>
              <w:fldChar w:fldCharType="separate"/>
            </w:r>
            <w:r w:rsidR="0058143B">
              <w:rPr>
                <w:noProof/>
                <w:webHidden/>
              </w:rPr>
              <w:t>27</w:t>
            </w:r>
            <w:r w:rsidR="0058143B">
              <w:rPr>
                <w:noProof/>
                <w:webHidden/>
              </w:rPr>
              <w:fldChar w:fldCharType="end"/>
            </w:r>
          </w:hyperlink>
        </w:p>
        <w:p w14:paraId="3F42DB1B" w14:textId="61A1861B" w:rsidR="0058143B" w:rsidRDefault="001143B4">
          <w:pPr>
            <w:pStyle w:val="TM3"/>
            <w:tabs>
              <w:tab w:val="left" w:pos="1701"/>
            </w:tabs>
            <w:rPr>
              <w:rFonts w:eastAsiaTheme="minorEastAsia" w:cstheme="minorBidi"/>
              <w:b w:val="0"/>
              <w:noProof/>
              <w:color w:val="auto"/>
              <w:sz w:val="22"/>
              <w:szCs w:val="22"/>
            </w:rPr>
          </w:pPr>
          <w:hyperlink w:anchor="_Toc77686083" w:history="1">
            <w:r w:rsidR="0058143B" w:rsidRPr="0002769E">
              <w:rPr>
                <w:rStyle w:val="Lienhypertexte"/>
                <w:noProof/>
              </w:rPr>
              <w:t>10.4.1.</w:t>
            </w:r>
            <w:r w:rsidR="0058143B">
              <w:rPr>
                <w:rFonts w:eastAsiaTheme="minorEastAsia" w:cstheme="minorBidi"/>
                <w:b w:val="0"/>
                <w:noProof/>
                <w:color w:val="auto"/>
                <w:sz w:val="22"/>
                <w:szCs w:val="22"/>
              </w:rPr>
              <w:tab/>
            </w:r>
            <w:r w:rsidR="0058143B" w:rsidRPr="0002769E">
              <w:rPr>
                <w:rStyle w:val="Lienhypertexte"/>
                <w:noProof/>
              </w:rPr>
              <w:t>Cas des Clients qui ne souhaitent plus disposer d’un accès au RPD</w:t>
            </w:r>
            <w:r w:rsidR="0058143B">
              <w:rPr>
                <w:noProof/>
                <w:webHidden/>
              </w:rPr>
              <w:tab/>
            </w:r>
            <w:r w:rsidR="0058143B">
              <w:rPr>
                <w:noProof/>
                <w:webHidden/>
              </w:rPr>
              <w:fldChar w:fldCharType="begin"/>
            </w:r>
            <w:r w:rsidR="0058143B">
              <w:rPr>
                <w:noProof/>
                <w:webHidden/>
              </w:rPr>
              <w:instrText xml:space="preserve"> PAGEREF _Toc77686083 \h </w:instrText>
            </w:r>
            <w:r w:rsidR="0058143B">
              <w:rPr>
                <w:noProof/>
                <w:webHidden/>
              </w:rPr>
            </w:r>
            <w:r w:rsidR="0058143B">
              <w:rPr>
                <w:noProof/>
                <w:webHidden/>
              </w:rPr>
              <w:fldChar w:fldCharType="separate"/>
            </w:r>
            <w:r w:rsidR="0058143B">
              <w:rPr>
                <w:noProof/>
                <w:webHidden/>
              </w:rPr>
              <w:t>27</w:t>
            </w:r>
            <w:r w:rsidR="0058143B">
              <w:rPr>
                <w:noProof/>
                <w:webHidden/>
              </w:rPr>
              <w:fldChar w:fldCharType="end"/>
            </w:r>
          </w:hyperlink>
        </w:p>
        <w:p w14:paraId="02DC619F" w14:textId="7CE311E2" w:rsidR="0058143B" w:rsidRDefault="001143B4">
          <w:pPr>
            <w:pStyle w:val="TM3"/>
            <w:tabs>
              <w:tab w:val="left" w:pos="1701"/>
            </w:tabs>
            <w:rPr>
              <w:rFonts w:eastAsiaTheme="minorEastAsia" w:cstheme="minorBidi"/>
              <w:b w:val="0"/>
              <w:noProof/>
              <w:color w:val="auto"/>
              <w:sz w:val="22"/>
              <w:szCs w:val="22"/>
            </w:rPr>
          </w:pPr>
          <w:hyperlink w:anchor="_Toc77686084" w:history="1">
            <w:r w:rsidR="0058143B" w:rsidRPr="0002769E">
              <w:rPr>
                <w:rStyle w:val="Lienhypertexte"/>
                <w:noProof/>
              </w:rPr>
              <w:t>10.4.2.</w:t>
            </w:r>
            <w:r w:rsidR="0058143B">
              <w:rPr>
                <w:rFonts w:eastAsiaTheme="minorEastAsia" w:cstheme="minorBidi"/>
                <w:b w:val="0"/>
                <w:noProof/>
                <w:color w:val="auto"/>
                <w:sz w:val="22"/>
                <w:szCs w:val="22"/>
              </w:rPr>
              <w:tab/>
            </w:r>
            <w:r w:rsidR="0058143B" w:rsidRPr="0002769E">
              <w:rPr>
                <w:rStyle w:val="Lienhypertexte"/>
                <w:noProof/>
              </w:rPr>
              <w:t>Cas des Clients souhaitant souscrire un contrat CARD</w:t>
            </w:r>
            <w:r w:rsidR="0058143B">
              <w:rPr>
                <w:noProof/>
                <w:webHidden/>
              </w:rPr>
              <w:tab/>
            </w:r>
            <w:r w:rsidR="0058143B">
              <w:rPr>
                <w:noProof/>
                <w:webHidden/>
              </w:rPr>
              <w:fldChar w:fldCharType="begin"/>
            </w:r>
            <w:r w:rsidR="0058143B">
              <w:rPr>
                <w:noProof/>
                <w:webHidden/>
              </w:rPr>
              <w:instrText xml:space="preserve"> PAGEREF _Toc77686084 \h </w:instrText>
            </w:r>
            <w:r w:rsidR="0058143B">
              <w:rPr>
                <w:noProof/>
                <w:webHidden/>
              </w:rPr>
            </w:r>
            <w:r w:rsidR="0058143B">
              <w:rPr>
                <w:noProof/>
                <w:webHidden/>
              </w:rPr>
              <w:fldChar w:fldCharType="separate"/>
            </w:r>
            <w:r w:rsidR="0058143B">
              <w:rPr>
                <w:noProof/>
                <w:webHidden/>
              </w:rPr>
              <w:t>27</w:t>
            </w:r>
            <w:r w:rsidR="0058143B">
              <w:rPr>
                <w:noProof/>
                <w:webHidden/>
              </w:rPr>
              <w:fldChar w:fldCharType="end"/>
            </w:r>
          </w:hyperlink>
        </w:p>
        <w:p w14:paraId="5B99B6D3" w14:textId="78BC6474" w:rsidR="0058143B" w:rsidRDefault="001143B4">
          <w:pPr>
            <w:pStyle w:val="TM2"/>
            <w:rPr>
              <w:rFonts w:eastAsiaTheme="minorEastAsia" w:cstheme="minorBidi"/>
              <w:noProof/>
              <w:color w:val="auto"/>
              <w:szCs w:val="22"/>
            </w:rPr>
          </w:pPr>
          <w:hyperlink w:anchor="_Toc77686085" w:history="1">
            <w:r w:rsidR="0058143B" w:rsidRPr="0002769E">
              <w:rPr>
                <w:rStyle w:val="Lienhypertexte"/>
                <w:noProof/>
              </w:rPr>
              <w:t>10.5.</w:t>
            </w:r>
            <w:r w:rsidR="0058143B">
              <w:rPr>
                <w:rFonts w:eastAsiaTheme="minorEastAsia" w:cstheme="minorBidi"/>
                <w:noProof/>
                <w:color w:val="auto"/>
                <w:szCs w:val="22"/>
              </w:rPr>
              <w:tab/>
            </w:r>
            <w:r w:rsidR="0058143B" w:rsidRPr="0002769E">
              <w:rPr>
                <w:rStyle w:val="Lienhypertexte"/>
                <w:noProof/>
              </w:rPr>
              <w:t>Changement de Fournisseur à un Point de Livraison</w:t>
            </w:r>
            <w:r w:rsidR="0058143B">
              <w:rPr>
                <w:noProof/>
                <w:webHidden/>
              </w:rPr>
              <w:tab/>
            </w:r>
            <w:r w:rsidR="0058143B">
              <w:rPr>
                <w:noProof/>
                <w:webHidden/>
              </w:rPr>
              <w:fldChar w:fldCharType="begin"/>
            </w:r>
            <w:r w:rsidR="0058143B">
              <w:rPr>
                <w:noProof/>
                <w:webHidden/>
              </w:rPr>
              <w:instrText xml:space="preserve"> PAGEREF _Toc77686085 \h </w:instrText>
            </w:r>
            <w:r w:rsidR="0058143B">
              <w:rPr>
                <w:noProof/>
                <w:webHidden/>
              </w:rPr>
            </w:r>
            <w:r w:rsidR="0058143B">
              <w:rPr>
                <w:noProof/>
                <w:webHidden/>
              </w:rPr>
              <w:fldChar w:fldCharType="separate"/>
            </w:r>
            <w:r w:rsidR="0058143B">
              <w:rPr>
                <w:noProof/>
                <w:webHidden/>
              </w:rPr>
              <w:t>27</w:t>
            </w:r>
            <w:r w:rsidR="0058143B">
              <w:rPr>
                <w:noProof/>
                <w:webHidden/>
              </w:rPr>
              <w:fldChar w:fldCharType="end"/>
            </w:r>
          </w:hyperlink>
        </w:p>
        <w:p w14:paraId="3307A0FC" w14:textId="014C2F01" w:rsidR="0058143B" w:rsidRDefault="001143B4">
          <w:pPr>
            <w:pStyle w:val="TM1"/>
            <w:rPr>
              <w:rFonts w:eastAsiaTheme="minorEastAsia" w:cstheme="minorBidi"/>
              <w:b w:val="0"/>
              <w:noProof/>
              <w:color w:val="auto"/>
              <w:sz w:val="22"/>
              <w:szCs w:val="22"/>
            </w:rPr>
          </w:pPr>
          <w:hyperlink w:anchor="_Toc77686086" w:history="1">
            <w:r w:rsidR="0058143B" w:rsidRPr="0002769E">
              <w:rPr>
                <w:rStyle w:val="Lienhypertexte"/>
                <w:bCs/>
                <w:noProof/>
              </w:rPr>
              <w:t>11.</w:t>
            </w:r>
            <w:r w:rsidR="0058143B">
              <w:rPr>
                <w:rFonts w:eastAsiaTheme="minorEastAsia" w:cstheme="minorBidi"/>
                <w:b w:val="0"/>
                <w:noProof/>
                <w:color w:val="auto"/>
                <w:sz w:val="22"/>
                <w:szCs w:val="22"/>
              </w:rPr>
              <w:tab/>
            </w:r>
            <w:r w:rsidR="0058143B" w:rsidRPr="0002769E">
              <w:rPr>
                <w:rStyle w:val="Lienhypertexte"/>
                <w:noProof/>
              </w:rPr>
              <w:t>Définitions</w:t>
            </w:r>
            <w:r w:rsidR="0058143B">
              <w:rPr>
                <w:noProof/>
                <w:webHidden/>
              </w:rPr>
              <w:tab/>
            </w:r>
            <w:r w:rsidR="0058143B">
              <w:rPr>
                <w:noProof/>
                <w:webHidden/>
              </w:rPr>
              <w:fldChar w:fldCharType="begin"/>
            </w:r>
            <w:r w:rsidR="0058143B">
              <w:rPr>
                <w:noProof/>
                <w:webHidden/>
              </w:rPr>
              <w:instrText xml:space="preserve"> PAGEREF _Toc77686086 \h </w:instrText>
            </w:r>
            <w:r w:rsidR="0058143B">
              <w:rPr>
                <w:noProof/>
                <w:webHidden/>
              </w:rPr>
            </w:r>
            <w:r w:rsidR="0058143B">
              <w:rPr>
                <w:noProof/>
                <w:webHidden/>
              </w:rPr>
              <w:fldChar w:fldCharType="separate"/>
            </w:r>
            <w:r w:rsidR="0058143B">
              <w:rPr>
                <w:noProof/>
                <w:webHidden/>
              </w:rPr>
              <w:t>28</w:t>
            </w:r>
            <w:r w:rsidR="0058143B">
              <w:rPr>
                <w:noProof/>
                <w:webHidden/>
              </w:rPr>
              <w:fldChar w:fldCharType="end"/>
            </w:r>
          </w:hyperlink>
        </w:p>
        <w:p w14:paraId="5F34E251" w14:textId="62B3E425" w:rsidR="0058143B" w:rsidRDefault="0058143B">
          <w:r>
            <w:rPr>
              <w:b/>
              <w:bCs/>
            </w:rPr>
            <w:fldChar w:fldCharType="end"/>
          </w:r>
        </w:p>
      </w:sdtContent>
    </w:sdt>
    <w:p w14:paraId="732CA11E" w14:textId="77777777" w:rsidR="00A95F3E" w:rsidRPr="00A27113" w:rsidRDefault="00A95F3E" w:rsidP="004A71F0">
      <w:pPr>
        <w:pStyle w:val="Titre1"/>
        <w:numPr>
          <w:ilvl w:val="0"/>
          <w:numId w:val="0"/>
        </w:numPr>
        <w:ind w:left="357" w:hanging="357"/>
      </w:pPr>
      <w:r w:rsidRPr="00A27113">
        <w:br w:type="page"/>
      </w:r>
      <w:bookmarkStart w:id="0" w:name="_Toc77686009"/>
      <w:r w:rsidRPr="00A27113">
        <w:t>Préambule</w:t>
      </w:r>
      <w:bookmarkEnd w:id="0"/>
    </w:p>
    <w:p w14:paraId="122DF0B7" w14:textId="77777777" w:rsidR="00A95F3E" w:rsidRPr="00A27113" w:rsidRDefault="00A95F3E" w:rsidP="0077150C">
      <w:r w:rsidRPr="00A27113">
        <w:t>Vu la Directive 2009/72/CE du 13 juillet 2009 concernant des règles communes pour le marché intérieur de l’électricité ;</w:t>
      </w:r>
    </w:p>
    <w:p w14:paraId="077856DA" w14:textId="77777777" w:rsidR="00A95F3E" w:rsidRPr="00A27113" w:rsidRDefault="00A95F3E" w:rsidP="0077150C">
      <w:r w:rsidRPr="00A27113">
        <w:t>Vu le code de l’énergie et notamment ses articles L111-1 et L111-51 et suivants ;</w:t>
      </w:r>
    </w:p>
    <w:p w14:paraId="2EA8AFC7" w14:textId="77777777" w:rsidR="00A95F3E" w:rsidRPr="00A27113" w:rsidRDefault="00A95F3E" w:rsidP="0077150C">
      <w:r w:rsidRPr="00A27113">
        <w:t>Vu l’arrêté du 5 juillet 1990, modifié par l'arrêté du 4 janvier 2005, fixant les consignes générales de délestage sur les réseaux électriques ;</w:t>
      </w:r>
    </w:p>
    <w:p w14:paraId="186C432E" w14:textId="77777777" w:rsidR="00A95F3E" w:rsidRPr="00A27113" w:rsidRDefault="00A95F3E" w:rsidP="0077150C">
      <w:pPr>
        <w:rPr>
          <w:szCs w:val="18"/>
        </w:rPr>
      </w:pPr>
      <w:r w:rsidRPr="00A27113">
        <w:rPr>
          <w:szCs w:val="18"/>
        </w:rPr>
        <w:t xml:space="preserve">Vu les articles R341-4 à 8 du code de l’énergie </w:t>
      </w:r>
      <w:r w:rsidRPr="00A27113">
        <w:rPr>
          <w:bCs/>
          <w:szCs w:val="18"/>
        </w:rPr>
        <w:t>relatifs aux dispositifs de comptage sur les réseaux publics d’électricité ;</w:t>
      </w:r>
    </w:p>
    <w:p w14:paraId="0C5A060B" w14:textId="77777777" w:rsidR="00A95F3E" w:rsidRPr="00A27113" w:rsidRDefault="00A95F3E" w:rsidP="0077150C">
      <w:r w:rsidRPr="00A27113">
        <w:t>Vu les tarifs d’utilisation des réseaux publics de transport et de distribution d’électricité en vigueur, pris en application de l’article L341-3 du code de l’énergie ;</w:t>
      </w:r>
    </w:p>
    <w:p w14:paraId="74A68EA9" w14:textId="77777777" w:rsidR="00A95F3E" w:rsidRPr="00A27113" w:rsidRDefault="00A95F3E" w:rsidP="0077150C">
      <w:r w:rsidRPr="00A27113">
        <w:t xml:space="preserve">Vu les dispositions du </w:t>
      </w:r>
      <w:r>
        <w:rPr>
          <w:noProof/>
        </w:rPr>
        <w:t>Règlement de Service en cours de révision</w:t>
      </w:r>
      <w:r w:rsidRPr="00A27113">
        <w:t xml:space="preserve"> </w:t>
      </w:r>
      <w:r w:rsidRPr="00A27113">
        <w:rPr>
          <w:szCs w:val="18"/>
        </w:rPr>
        <w:t>liant le gestionnaire du Réseau Public de Distribution (ci-après</w:t>
      </w:r>
      <w:r w:rsidRPr="00A27113">
        <w:t xml:space="preserve"> </w:t>
      </w:r>
      <w:r>
        <w:t>le GRD</w:t>
      </w:r>
      <w:r w:rsidRPr="00A27113">
        <w:t>) et l'autorité concédante sur le territoire de laquelle est situé le site, pour autant qu'elles ne sont pas contraires aux dispositions législatives et réglementaires postérieures à la date de signature de la convention de concession ;</w:t>
      </w:r>
    </w:p>
    <w:p w14:paraId="34BBF237" w14:textId="77777777" w:rsidR="00A95F3E" w:rsidRPr="00A27113" w:rsidRDefault="00A95F3E" w:rsidP="0077150C">
      <w:r w:rsidRPr="00A27113">
        <w:t>Vu les décisions du Comité de Règlement des Différents et des Sanctions (</w:t>
      </w:r>
      <w:proofErr w:type="spellStart"/>
      <w:r w:rsidRPr="00A27113">
        <w:t>CoRDiS</w:t>
      </w:r>
      <w:proofErr w:type="spellEnd"/>
      <w:r w:rsidRPr="00A27113">
        <w:t>) de la Commission de régulation de l’énergie en dates des 7 avril 2008, 22 octobre 2010 et 17 décembre 2012 ;</w:t>
      </w:r>
    </w:p>
    <w:p w14:paraId="2947F588" w14:textId="77777777" w:rsidR="00A95F3E" w:rsidRPr="00A27113" w:rsidRDefault="00A95F3E" w:rsidP="005657EB">
      <w:r w:rsidRPr="00A27113">
        <w:t>Vu la décision de la Cour d’appel de Paris du 29 septembre 2011 ;</w:t>
      </w:r>
    </w:p>
    <w:p w14:paraId="48A33C2C" w14:textId="77777777" w:rsidR="00A95F3E" w:rsidRPr="00A27113" w:rsidRDefault="00A95F3E" w:rsidP="0077150C">
      <w:pPr>
        <w:rPr>
          <w:rFonts w:cs="Arial"/>
        </w:rPr>
      </w:pPr>
      <w:r w:rsidRPr="00A27113">
        <w:rPr>
          <w:rFonts w:cs="Arial"/>
        </w:rPr>
        <w:t xml:space="preserve">Vu la </w:t>
      </w:r>
      <w:r w:rsidRPr="00A27113">
        <w:t xml:space="preserve">loi informatique et des Libertés modifiée n°78-17 du 6 janvier 1978 et du Règlement (UE) 2016/679 du Parlement européen et du Conseil du 27 avril 2016 </w:t>
      </w:r>
      <w:r>
        <w:t>(RGPD) ;</w:t>
      </w:r>
    </w:p>
    <w:p w14:paraId="39482EB0" w14:textId="77777777" w:rsidR="00A95F3E" w:rsidRPr="00A27113" w:rsidRDefault="00A95F3E" w:rsidP="0077150C">
      <w:pPr>
        <w:rPr>
          <w:rFonts w:cs="Arial"/>
          <w:szCs w:val="24"/>
        </w:rPr>
      </w:pPr>
      <w:r w:rsidRPr="00A27113">
        <w:rPr>
          <w:rFonts w:cs="Arial"/>
          <w:szCs w:val="24"/>
        </w:rPr>
        <w:t>Considérant que le Fournisseur est titulaire de l’autorisation d’exercice de l’achat d’électricité pour revente aux consommateurs finals conformément à l’article L 333-1 du code de l’énergie ;</w:t>
      </w:r>
    </w:p>
    <w:p w14:paraId="2133F373" w14:textId="77777777" w:rsidR="00A95F3E" w:rsidRPr="00A27113" w:rsidRDefault="00A95F3E" w:rsidP="0077150C">
      <w:r>
        <w:t>Le GRD</w:t>
      </w:r>
      <w:r w:rsidRPr="00A27113">
        <w:t xml:space="preserve"> a pour mission d'assurer le raccordement et l’accès des utilisateurs au Réseau Public de Distribution, dans des conditions objectives, transparentes et non discriminatoires.</w:t>
      </w:r>
    </w:p>
    <w:p w14:paraId="610F50A0" w14:textId="77777777" w:rsidR="00A95F3E" w:rsidRPr="00A27113" w:rsidRDefault="00A95F3E" w:rsidP="005657EB">
      <w:r w:rsidRPr="00A27113">
        <w:t xml:space="preserve">Ce droit d'accès et de raccordement au Réseau Public de Distribution est mis en œuvre par la conclusion de contrats entre </w:t>
      </w:r>
      <w:r>
        <w:t>le GRD</w:t>
      </w:r>
      <w:r w:rsidRPr="00A27113">
        <w:t xml:space="preserve"> et les utilisateurs dudit réseau.</w:t>
      </w:r>
    </w:p>
    <w:p w14:paraId="2394FFC4" w14:textId="77777777" w:rsidR="00A95F3E" w:rsidRPr="00A27113" w:rsidRDefault="00A95F3E" w:rsidP="005657EB">
      <w:r w:rsidRPr="00A27113">
        <w:t xml:space="preserve">Conformément à l'article L111-92 du code de l’énergie, le Fournisseur qui le souhaite conclut directement avec </w:t>
      </w:r>
      <w:r>
        <w:t>le GRD</w:t>
      </w:r>
      <w:r w:rsidRPr="00A27113">
        <w:t xml:space="preserv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w:t>
      </w:r>
      <w:r>
        <w:t>le GRD</w:t>
      </w:r>
      <w:r w:rsidRPr="00A27113">
        <w:t xml:space="preserve">. Il est toutefois garanti de bénéficier des mêmes droits à l’égard </w:t>
      </w:r>
      <w:r>
        <w:t>du GRD</w:t>
      </w:r>
      <w:r w:rsidRPr="00A27113">
        <w:t xml:space="preserve"> que s’il avait directement conclu un Contrat d’Accès au Réseau public de Distribution (CARD) avec celle-ci.</w:t>
      </w:r>
    </w:p>
    <w:p w14:paraId="2624BC6D" w14:textId="77777777" w:rsidR="00A95F3E" w:rsidRPr="00A27113" w:rsidRDefault="00A95F3E" w:rsidP="006F1E53"/>
    <w:p w14:paraId="6A5D5A3E" w14:textId="77777777" w:rsidR="00A95F3E" w:rsidRPr="00A27113" w:rsidRDefault="00A95F3E" w:rsidP="006F1E53">
      <w:pPr>
        <w:rPr>
          <w:rFonts w:cs="Arial"/>
          <w:i/>
          <w:color w:val="000000"/>
        </w:rPr>
      </w:pPr>
      <w:r w:rsidRPr="00A27113">
        <w:rPr>
          <w:rFonts w:cs="Arial"/>
          <w:i/>
          <w:iCs/>
        </w:rPr>
        <w:t xml:space="preserve">Nota : Les mots ou groupes de mots commençant par une majuscule sont définis au chapitre </w:t>
      </w:r>
      <w:r>
        <w:rPr>
          <w:rFonts w:cs="Arial"/>
          <w:i/>
          <w:iCs/>
        </w:rPr>
        <w:t>11</w:t>
      </w:r>
      <w:r w:rsidRPr="00A27113">
        <w:rPr>
          <w:rFonts w:cs="Arial"/>
          <w:i/>
          <w:iCs/>
        </w:rPr>
        <w:t xml:space="preserve"> des présentes dispositions générales.</w:t>
      </w:r>
    </w:p>
    <w:p w14:paraId="1A5BE2A7" w14:textId="77777777" w:rsidR="00A95F3E" w:rsidRPr="00A27113" w:rsidRDefault="00A95F3E">
      <w:pPr>
        <w:spacing w:before="0" w:after="0"/>
        <w:jc w:val="left"/>
        <w:rPr>
          <w:rFonts w:ascii="Tahoma" w:hAnsi="Tahoma" w:cs="Arial"/>
          <w:b/>
          <w:bCs/>
          <w:i/>
          <w:iCs/>
          <w:color w:val="auto"/>
          <w:sz w:val="18"/>
          <w:szCs w:val="24"/>
        </w:rPr>
      </w:pPr>
      <w:r w:rsidRPr="00A27113">
        <w:rPr>
          <w:b/>
          <w:bCs/>
          <w:i/>
          <w:iCs/>
          <w:sz w:val="18"/>
        </w:rPr>
        <w:br w:type="page"/>
      </w:r>
    </w:p>
    <w:p w14:paraId="5212EA3F" w14:textId="77777777" w:rsidR="00A95F3E" w:rsidRPr="00A27113" w:rsidRDefault="00A95F3E" w:rsidP="005657EB">
      <w:pPr>
        <w:pStyle w:val="Titre1"/>
      </w:pPr>
      <w:bookmarkStart w:id="1" w:name="_Toc77686010"/>
      <w:r w:rsidRPr="00A27113">
        <w:t>Cadre général de l’accès au Réseau Public de Distribution</w:t>
      </w:r>
      <w:bookmarkEnd w:id="1"/>
    </w:p>
    <w:p w14:paraId="3AB15AF6" w14:textId="77777777" w:rsidR="00A95F3E" w:rsidRPr="00A27113" w:rsidRDefault="00A95F3E" w:rsidP="006F1E53">
      <w:pPr>
        <w:pStyle w:val="Titre2"/>
      </w:pPr>
      <w:bookmarkStart w:id="2" w:name="_Toc77686011"/>
      <w:r w:rsidRPr="00A27113">
        <w:t>Principes</w:t>
      </w:r>
      <w:bookmarkEnd w:id="2"/>
    </w:p>
    <w:p w14:paraId="40FB74AC" w14:textId="77777777" w:rsidR="00A95F3E" w:rsidRPr="00A27113" w:rsidRDefault="00A95F3E" w:rsidP="006F1E53">
      <w:r w:rsidRPr="00A27113">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BT au RPD et pour lesquels une puissance inférieure ou égale à 36 kVA a été souscrite. </w:t>
      </w:r>
    </w:p>
    <w:p w14:paraId="09B7B424" w14:textId="77777777" w:rsidR="00A95F3E" w:rsidRPr="00A27113" w:rsidRDefault="00A95F3E" w:rsidP="006F1E53">
      <w:pPr>
        <w:rPr>
          <w:szCs w:val="18"/>
        </w:rPr>
      </w:pPr>
      <w:r w:rsidRPr="00A27113">
        <w:rPr>
          <w:szCs w:val="18"/>
        </w:rPr>
        <w:t xml:space="preserve">Ces dispositions générales sont incluses dans le contrat dénommé par l’usage « Contrat GRD-F », conclu entre </w:t>
      </w:r>
      <w:r>
        <w:rPr>
          <w:szCs w:val="18"/>
        </w:rPr>
        <w:t>le GRD</w:t>
      </w:r>
      <w:r w:rsidRPr="00A27113">
        <w:rPr>
          <w:szCs w:val="18"/>
        </w:rPr>
        <w:t xml:space="preserve"> et le Fournisseur, </w:t>
      </w:r>
      <w:r w:rsidRPr="00A27113">
        <w:t>afin de permettre l’acheminement effectif de l’énergie électrique. La reproduction des présentes dispositions générales en annexe au Contrat Unique, selon des modalités permettant une consultation</w:t>
      </w:r>
      <w:r w:rsidRPr="00A27113">
        <w:rPr>
          <w:szCs w:val="18"/>
        </w:rPr>
        <w:t xml:space="preserve"> simple et complète pour le Client, est assurée au moyen de </w:t>
      </w:r>
      <w:r w:rsidRPr="00A27113">
        <w:rPr>
          <w:bCs/>
        </w:rPr>
        <w:t>l’annexe 2 bis pour le Domaine de Tension basse tension.</w:t>
      </w:r>
    </w:p>
    <w:p w14:paraId="678691C2" w14:textId="77777777" w:rsidR="00A95F3E" w:rsidRPr="00A27113" w:rsidRDefault="00A95F3E" w:rsidP="006F1E53">
      <w:r w:rsidRPr="00A27113">
        <w:t xml:space="preserve">Lorsqu'un Client signe un Contrat Unique, celui-ci annule et remplace tous les contrats, lettres, propositions, offres et conventions remis, échangés ou signés entre </w:t>
      </w:r>
      <w:r>
        <w:t>le GRD</w:t>
      </w:r>
      <w:r w:rsidRPr="00A27113">
        <w:t xml:space="preserve"> et le Client antérieurement à la signature du Contrat Unique et portant sur le même objet.</w:t>
      </w:r>
    </w:p>
    <w:p w14:paraId="3092A0A9" w14:textId="77777777" w:rsidR="00A95F3E" w:rsidRPr="00A27113" w:rsidRDefault="00A95F3E" w:rsidP="006F1E53">
      <w:r w:rsidRPr="00A27113">
        <w:t xml:space="preserve">Le Client est informé, préalablement à la conclusion du Contrat Unique, </w:t>
      </w:r>
      <w:r>
        <w:t>de l'existence des R</w:t>
      </w:r>
      <w:r w:rsidRPr="00A27113">
        <w:t xml:space="preserve">éférentiels technique et clientèle </w:t>
      </w:r>
      <w:r>
        <w:t>du GRD</w:t>
      </w:r>
      <w:r w:rsidRPr="00A27113">
        <w:rPr>
          <w:color w:val="auto"/>
        </w:rPr>
        <w:t xml:space="preserve"> </w:t>
      </w:r>
      <w:r w:rsidRPr="00A27113">
        <w:t xml:space="preserve">et de son Catalogue des prestations. Ces </w:t>
      </w:r>
      <w:r>
        <w:t>R</w:t>
      </w:r>
      <w:r w:rsidRPr="00A27113">
        <w:t xml:space="preserve">éférentiels exposent les dispositions réglementaires et les règles complémentaires </w:t>
      </w:r>
      <w:r>
        <w:t>que le GRD</w:t>
      </w:r>
      <w:r w:rsidRPr="00A27113">
        <w:t xml:space="preserve"> applique à l'ensemble des utilisateurs pour leur assurer l'accès et l’utilisation du Réseau Public de Distribution. Les </w:t>
      </w:r>
      <w:r>
        <w:t>Référentiel</w:t>
      </w:r>
      <w:r w:rsidRPr="00A27113">
        <w:t>s sont accessibles à l'adresse Internet</w:t>
      </w:r>
      <w:r>
        <w:t xml:space="preserve"> </w:t>
      </w:r>
      <w:r>
        <w:rPr>
          <w:noProof/>
        </w:rPr>
        <w:t>ree-elbeuf.com</w:t>
      </w:r>
      <w:r w:rsidRPr="00A27113">
        <w:t>.</w:t>
      </w:r>
      <w:r w:rsidRPr="00A27113">
        <w:rPr>
          <w:color w:val="auto"/>
        </w:rPr>
        <w:t xml:space="preserve"> </w:t>
      </w:r>
      <w:r w:rsidRPr="00A27113">
        <w:t xml:space="preserve">L’état des publications des règles du </w:t>
      </w:r>
      <w:r>
        <w:t>R</w:t>
      </w:r>
      <w:r w:rsidRPr="00A27113">
        <w:t xml:space="preserve">éférentiel clientèle </w:t>
      </w:r>
      <w:r>
        <w:t>du GRD</w:t>
      </w:r>
      <w:r w:rsidRPr="00A27113">
        <w:t xml:space="preserve"> est accessible à l’adresse</w:t>
      </w:r>
      <w:r>
        <w:t xml:space="preserve"> </w:t>
      </w:r>
      <w:r>
        <w:rPr>
          <w:noProof/>
        </w:rPr>
        <w:t>ree-elbeuf.com</w:t>
      </w:r>
      <w:r w:rsidRPr="00AA65CD">
        <w:t>.</w:t>
      </w:r>
    </w:p>
    <w:p w14:paraId="042A3D6D" w14:textId="77777777" w:rsidR="00A95F3E" w:rsidRPr="00A27113" w:rsidRDefault="00A95F3E" w:rsidP="006F1E53">
      <w:r w:rsidRPr="00A27113">
        <w:t xml:space="preserve">Les procédures et prestations relatives à l’accès et à l’utilisation du RPD sont réalisées selon les modalités définies dans les </w:t>
      </w:r>
      <w:r>
        <w:t>R</w:t>
      </w:r>
      <w:r w:rsidRPr="00A27113">
        <w:t xml:space="preserve">éférentiels </w:t>
      </w:r>
      <w:r>
        <w:t>du GRD</w:t>
      </w:r>
      <w:r w:rsidRPr="00A27113">
        <w:rPr>
          <w:color w:val="auto"/>
        </w:rPr>
        <w:t xml:space="preserve"> </w:t>
      </w:r>
      <w:r w:rsidRPr="00A27113">
        <w:t xml:space="preserve">et dans son Catalogue des prestations. En cas de contradiction entre les </w:t>
      </w:r>
      <w:r>
        <w:t>R</w:t>
      </w:r>
      <w:r w:rsidRPr="00A27113">
        <w:t>éférentiels et le Catalogue des prestations d’une part, et la présente annexe du contrat GRD-F d’autre part, les dispositions de la présente annexe prévaudront.</w:t>
      </w:r>
    </w:p>
    <w:p w14:paraId="638343C1" w14:textId="77777777" w:rsidR="00A95F3E" w:rsidRPr="00A27113" w:rsidRDefault="00A95F3E" w:rsidP="006F1E53">
      <w:r w:rsidRPr="00A27113">
        <w:t xml:space="preserve">Le Client bénéficie de la possibilité de se prévaloir d’un droit contractuel direct à l’encontre </w:t>
      </w:r>
      <w:r>
        <w:t>du GRD</w:t>
      </w:r>
      <w:r w:rsidRPr="00A27113">
        <w:t xml:space="preserve"> pour les engagements</w:t>
      </w:r>
      <w:r w:rsidRPr="00A27113">
        <w:rPr>
          <w:bCs/>
        </w:rPr>
        <w:t xml:space="preserve"> </w:t>
      </w:r>
      <w:r>
        <w:rPr>
          <w:bCs/>
        </w:rPr>
        <w:t>du GRD</w:t>
      </w:r>
      <w:r w:rsidRPr="00A27113">
        <w:rPr>
          <w:bCs/>
        </w:rPr>
        <w:t xml:space="preserve"> vis-à-vis du Client</w:t>
      </w:r>
      <w:r w:rsidRPr="00A27113">
        <w:t xml:space="preserve"> contenus dans le contrat GRD-F.</w:t>
      </w:r>
    </w:p>
    <w:p w14:paraId="3DCB360E" w14:textId="77777777" w:rsidR="00A95F3E" w:rsidRPr="00A27113" w:rsidRDefault="00A95F3E" w:rsidP="006F1E53">
      <w:r w:rsidRPr="00A27113">
        <w:t>Outre les présentes dispositions générales, les modalités relatives au raccordement et à l’exploitation sont détaillées dans deux conventions distinctes :</w:t>
      </w:r>
    </w:p>
    <w:p w14:paraId="37E582FD" w14:textId="77777777" w:rsidR="00A95F3E" w:rsidRPr="00A27113" w:rsidRDefault="00A95F3E" w:rsidP="006F1E53">
      <w:pPr>
        <w:pStyle w:val="SPuce"/>
      </w:pPr>
      <w:r w:rsidRPr="00A27113">
        <w:t xml:space="preserve">la Convention de Raccordement, lorsqu’il en existe une, qui est conclue entre </w:t>
      </w:r>
      <w:r>
        <w:t>le GRD</w:t>
      </w:r>
      <w:r w:rsidRPr="00A27113">
        <w:t xml:space="preserve"> et le demandeur du raccordement ou toute personne dûment habilitée. </w:t>
      </w:r>
    </w:p>
    <w:p w14:paraId="7ADEFDD2" w14:textId="77777777" w:rsidR="00A95F3E" w:rsidRPr="00A27113" w:rsidRDefault="00A95F3E" w:rsidP="006F1E53">
      <w:pPr>
        <w:pStyle w:val="SPuce"/>
      </w:pPr>
      <w:r w:rsidRPr="00A27113">
        <w:t xml:space="preserve">la Convention d'Exploitation, lorsqu’il en existe une, qui est conclue entre </w:t>
      </w:r>
      <w:r>
        <w:t>le GRD</w:t>
      </w:r>
      <w:r w:rsidRPr="00A27113">
        <w:t xml:space="preserve"> et le chef de l'établissement desservi par le RPD au sens du décret du 14 novembre 1988. La signature de la Convention d'Exploitation ne peut en aucun cas être déléguée par le chef d'établissement.</w:t>
      </w:r>
    </w:p>
    <w:p w14:paraId="57BC604B" w14:textId="77777777" w:rsidR="00A95F3E" w:rsidRPr="00A27113" w:rsidRDefault="00A95F3E" w:rsidP="006F1E53">
      <w:r w:rsidRPr="00A27113">
        <w:t xml:space="preserve">Les articles ci-dessous listent les missions principales des différents acteurs relativement à l’accès et à l’utilisation du RPD. </w:t>
      </w:r>
    </w:p>
    <w:p w14:paraId="70C6F296" w14:textId="77777777" w:rsidR="00A95F3E" w:rsidRPr="00A27113" w:rsidRDefault="00A95F3E" w:rsidP="006F1E53">
      <w:pPr>
        <w:pStyle w:val="Titre2"/>
      </w:pPr>
      <w:bookmarkStart w:id="3" w:name="_Toc77686012"/>
      <w:r>
        <w:t>Le GRD</w:t>
      </w:r>
      <w:r w:rsidRPr="00A27113">
        <w:t xml:space="preserve"> et l’accès au Réseau Public de Distribution</w:t>
      </w:r>
      <w:bookmarkEnd w:id="3"/>
    </w:p>
    <w:p w14:paraId="1B55606D" w14:textId="77777777" w:rsidR="00A95F3E" w:rsidRPr="00A27113" w:rsidRDefault="00A95F3E" w:rsidP="006F1E53">
      <w:r w:rsidRPr="00A27113">
        <w:t xml:space="preserve">Dans le cadre des présentes dispositions générales, </w:t>
      </w:r>
      <w:r>
        <w:t>le GRD</w:t>
      </w:r>
      <w:r w:rsidRPr="00A27113">
        <w:t xml:space="preserve"> s’engage notamment, pour chaque Point de Livraison faisant partie du Périmètre de Facturation, tant à l’égard du Fournisseur, qu’à celui du Client, à :</w:t>
      </w:r>
    </w:p>
    <w:p w14:paraId="3560F9DC" w14:textId="77777777" w:rsidR="00A95F3E" w:rsidRPr="00A27113" w:rsidRDefault="00A95F3E" w:rsidP="006F1E53">
      <w:pPr>
        <w:pStyle w:val="SPuce"/>
      </w:pPr>
      <w:r w:rsidRPr="00A27113">
        <w:t>garantir un accès non discriminatoire au Réseau Public de Distribution ;</w:t>
      </w:r>
    </w:p>
    <w:p w14:paraId="645E329A" w14:textId="77777777" w:rsidR="00A95F3E" w:rsidRPr="00A27113" w:rsidRDefault="00A95F3E" w:rsidP="006F1E53">
      <w:pPr>
        <w:pStyle w:val="SPuce"/>
      </w:pPr>
      <w:r w:rsidRPr="00A27113">
        <w:t>acheminer l’énergie électrique jusqu’au Point de Livraison désigné par le Fournisseur ;</w:t>
      </w:r>
    </w:p>
    <w:p w14:paraId="0CC83B4E" w14:textId="77777777" w:rsidR="00A95F3E" w:rsidRPr="00A27113" w:rsidRDefault="00A95F3E" w:rsidP="006F1E53">
      <w:pPr>
        <w:pStyle w:val="SPuce"/>
      </w:pPr>
      <w:r w:rsidRPr="00A27113">
        <w:t>assurer l’accueil dépannage et les interventions nécessaires au dépannage ;</w:t>
      </w:r>
    </w:p>
    <w:p w14:paraId="7897CE63" w14:textId="77777777" w:rsidR="00A95F3E" w:rsidRPr="00A27113" w:rsidRDefault="00A95F3E" w:rsidP="006F1E53">
      <w:pPr>
        <w:pStyle w:val="SPuce"/>
      </w:pPr>
      <w:r w:rsidRPr="00A27113">
        <w:t>respecter certains standards de qualité définissant l’onde électrique en matière de continuité et de qualité, tels que mentionnés au contrat GRD-F ;</w:t>
      </w:r>
    </w:p>
    <w:p w14:paraId="72D5AEDD" w14:textId="77777777" w:rsidR="00A95F3E" w:rsidRPr="00A27113" w:rsidRDefault="00A95F3E" w:rsidP="006F1E53">
      <w:pPr>
        <w:pStyle w:val="SPuce"/>
      </w:pPr>
      <w:r w:rsidRPr="00A27113">
        <w:t>assurer les missions de comptage dont elle est légalement investie ;</w:t>
      </w:r>
    </w:p>
    <w:p w14:paraId="0AA23AB7" w14:textId="77777777" w:rsidR="00A95F3E" w:rsidRPr="00A27113" w:rsidRDefault="00A95F3E" w:rsidP="006F1E53">
      <w:pPr>
        <w:pStyle w:val="SPuce"/>
      </w:pPr>
      <w:r w:rsidRPr="00A27113">
        <w:t xml:space="preserve">réaliser les interventions techniques selon les modalités techniques et financières des </w:t>
      </w:r>
      <w:r>
        <w:t>R</w:t>
      </w:r>
      <w:r w:rsidRPr="00A27113">
        <w:t xml:space="preserve">éférentiels </w:t>
      </w:r>
      <w:r>
        <w:t>du GRD</w:t>
      </w:r>
      <w:r w:rsidRPr="00A27113">
        <w:rPr>
          <w:color w:val="auto"/>
        </w:rPr>
        <w:t xml:space="preserve"> </w:t>
      </w:r>
      <w:r w:rsidRPr="00A27113">
        <w:t>et de son Catalogue des prestations ;</w:t>
      </w:r>
    </w:p>
    <w:p w14:paraId="0CB33DA6" w14:textId="77777777" w:rsidR="00A95F3E" w:rsidRPr="00A27113" w:rsidRDefault="00A95F3E" w:rsidP="006F1E53">
      <w:pPr>
        <w:pStyle w:val="SPuce"/>
      </w:pPr>
      <w:r w:rsidRPr="00A27113">
        <w:t xml:space="preserve">assurer la protection des informations commercialement sensibles et des données à caractère personnel conformément à l’article </w:t>
      </w:r>
      <w:r>
        <w:t>1.6</w:t>
      </w:r>
      <w:r w:rsidRPr="00A27113">
        <w:t xml:space="preserve"> de la présente annexe ;</w:t>
      </w:r>
    </w:p>
    <w:p w14:paraId="5350C180" w14:textId="77777777" w:rsidR="00A95F3E" w:rsidRPr="00A27113" w:rsidRDefault="00A95F3E" w:rsidP="006F1E53">
      <w:pPr>
        <w:pStyle w:val="SPuce"/>
      </w:pPr>
      <w:r w:rsidRPr="00A27113">
        <w:t>assurer la sécurité des tiers relativement au RPD ;</w:t>
      </w:r>
    </w:p>
    <w:p w14:paraId="5C1C2E2E" w14:textId="77777777" w:rsidR="00A95F3E" w:rsidRPr="00A27113" w:rsidRDefault="00A95F3E" w:rsidP="006F1E53">
      <w:pPr>
        <w:pStyle w:val="SPuce"/>
      </w:pPr>
      <w:r w:rsidRPr="00A27113">
        <w:t>informer le Fournisseur et les Clients préalablement - dans la mesure du possible - aux coupures pour travaux ou pour raison de sécurité, conformément au contrat GRD-F ;</w:t>
      </w:r>
    </w:p>
    <w:p w14:paraId="40247D04" w14:textId="77777777" w:rsidR="00A95F3E" w:rsidRPr="00A27113" w:rsidRDefault="00A95F3E" w:rsidP="006F1E53">
      <w:pPr>
        <w:pStyle w:val="SPuce"/>
      </w:pPr>
      <w:r w:rsidRPr="00A27113">
        <w:t>informer le Fournisseur et les Clients lors des coupures pour incident affectant le RPD ;</w:t>
      </w:r>
    </w:p>
    <w:p w14:paraId="52DCE848" w14:textId="77777777" w:rsidR="00A95F3E" w:rsidRPr="00A27113" w:rsidRDefault="00A95F3E" w:rsidP="006F1E53">
      <w:pPr>
        <w:pStyle w:val="SPuce"/>
      </w:pPr>
      <w:r w:rsidRPr="00A27113">
        <w:t>traiter les réclamations relatives à l’accès et à l’utilisation du RPD qui lui sont adressées ;</w:t>
      </w:r>
    </w:p>
    <w:p w14:paraId="7FC7E639" w14:textId="77777777" w:rsidR="00A95F3E" w:rsidRPr="00A27113" w:rsidRDefault="00A95F3E" w:rsidP="006F1E53">
      <w:pPr>
        <w:pStyle w:val="SPuce"/>
      </w:pPr>
      <w:r w:rsidRPr="00A27113">
        <w:t xml:space="preserve">indemniser les Clients, dès lors que la responsabilité </w:t>
      </w:r>
      <w:r>
        <w:t>du GRD</w:t>
      </w:r>
      <w:r w:rsidRPr="00A27113">
        <w:t xml:space="preserve"> est engagée au titre de l’article </w:t>
      </w:r>
      <w:r>
        <w:t>9.1</w:t>
      </w:r>
      <w:r w:rsidRPr="00A27113">
        <w:t xml:space="preserve"> de la présente annexe ;</w:t>
      </w:r>
    </w:p>
    <w:p w14:paraId="32D81145" w14:textId="77777777" w:rsidR="00A95F3E" w:rsidRPr="00A27113" w:rsidRDefault="00A95F3E" w:rsidP="006F1E53">
      <w:pPr>
        <w:pStyle w:val="SPuce"/>
      </w:pPr>
      <w:r w:rsidRPr="00A27113">
        <w:t>informer le Client en cas de défaillance de la part du Fournisseur, selon les dispositions réglementaires applicables ;</w:t>
      </w:r>
    </w:p>
    <w:p w14:paraId="261B4196" w14:textId="77777777" w:rsidR="00A95F3E" w:rsidRPr="00A27113" w:rsidRDefault="00A95F3E" w:rsidP="006F1E53">
      <w:pPr>
        <w:pStyle w:val="SPuce"/>
      </w:pPr>
      <w:r w:rsidRPr="00A27113">
        <w:t>entretenir le RPD ;</w:t>
      </w:r>
    </w:p>
    <w:p w14:paraId="7EAFCFD6" w14:textId="77777777" w:rsidR="00A95F3E" w:rsidRPr="00A27113" w:rsidRDefault="00A95F3E" w:rsidP="006F1E53">
      <w:pPr>
        <w:pStyle w:val="SPuce"/>
      </w:pPr>
      <w:r w:rsidRPr="00A27113">
        <w:t xml:space="preserve">développer ou renforcer le RPD, selon la répartition de la maîtrise d’ouvrage des travaux sur le RPD entre </w:t>
      </w:r>
      <w:r>
        <w:t>le GRD</w:t>
      </w:r>
      <w:r w:rsidRPr="00A27113">
        <w:t xml:space="preserve"> et l’autorité concédante, définie dans chaque cahier des charges de concession ;</w:t>
      </w:r>
    </w:p>
    <w:p w14:paraId="39C5355C" w14:textId="77777777" w:rsidR="00A95F3E" w:rsidRPr="00A27113" w:rsidRDefault="00A95F3E" w:rsidP="006F1E53">
      <w:pPr>
        <w:pStyle w:val="SPuce"/>
      </w:pPr>
      <w:r w:rsidRPr="00A27113">
        <w:t>mettre à disposition des signaux tarifaires.</w:t>
      </w:r>
    </w:p>
    <w:p w14:paraId="5D9CE48F" w14:textId="77777777" w:rsidR="00A95F3E" w:rsidRPr="00A27113" w:rsidRDefault="00A95F3E" w:rsidP="006F1E53">
      <w:pPr>
        <w:pStyle w:val="SPuce"/>
        <w:numPr>
          <w:ilvl w:val="0"/>
          <w:numId w:val="0"/>
        </w:numPr>
        <w:spacing w:before="0"/>
        <w:ind w:left="720"/>
      </w:pPr>
    </w:p>
    <w:p w14:paraId="66F92F7E" w14:textId="77777777" w:rsidR="00A95F3E" w:rsidRPr="00A27113" w:rsidRDefault="00A95F3E" w:rsidP="00905A31">
      <w:pPr>
        <w:pStyle w:val="SPuce"/>
        <w:numPr>
          <w:ilvl w:val="0"/>
          <w:numId w:val="0"/>
        </w:numPr>
      </w:pPr>
      <w:r>
        <w:t>Le GRD</w:t>
      </w:r>
      <w:r w:rsidRPr="00A27113">
        <w:t xml:space="preserve"> s’engage également notamment à l’égard du Fournisseur à :</w:t>
      </w:r>
    </w:p>
    <w:p w14:paraId="009FE40C" w14:textId="77777777" w:rsidR="00A95F3E" w:rsidRPr="00A27113" w:rsidRDefault="00A95F3E" w:rsidP="006F1E53">
      <w:pPr>
        <w:pStyle w:val="SPuce"/>
      </w:pPr>
      <w:r w:rsidRPr="00A27113">
        <w:t>assurer l’accueil et le traitement des demandes du Fournisseur ;</w:t>
      </w:r>
    </w:p>
    <w:p w14:paraId="10FC49B9" w14:textId="77777777" w:rsidR="00A95F3E" w:rsidRPr="00A27113" w:rsidRDefault="00A95F3E" w:rsidP="006F1E53">
      <w:pPr>
        <w:pStyle w:val="SPuce"/>
      </w:pPr>
      <w:r w:rsidRPr="00A27113">
        <w:t xml:space="preserve">élaborer, valider et mettre à disposition du Fournisseur les données nécessaires à la facturation au Fournisseur, par </w:t>
      </w:r>
      <w:r>
        <w:t>le GRD</w:t>
      </w:r>
      <w:r w:rsidRPr="00A27113">
        <w:t xml:space="preserve">, du Tarif d’Utilisation des Réseaux appliqué au Point de Livraison ; </w:t>
      </w:r>
    </w:p>
    <w:p w14:paraId="39A4FBE0" w14:textId="77777777" w:rsidR="00A95F3E" w:rsidRDefault="00A95F3E" w:rsidP="006F1E53">
      <w:pPr>
        <w:pStyle w:val="SPuce"/>
      </w:pPr>
      <w:r w:rsidRPr="00A27113">
        <w:t xml:space="preserve">élaborer, valider et mettre à disposition du Fournisseur les données nécessaires à la facturation au Client, par les soins du Fournisseur, de l’énergie électrique, conformément aux dispositions des </w:t>
      </w:r>
      <w:r>
        <w:t>R</w:t>
      </w:r>
      <w:r w:rsidRPr="00A27113">
        <w:t xml:space="preserve">éférentiels </w:t>
      </w:r>
      <w:r>
        <w:t>du GRD</w:t>
      </w:r>
      <w:r w:rsidRPr="00A27113">
        <w:rPr>
          <w:color w:val="auto"/>
        </w:rPr>
        <w:t xml:space="preserve"> </w:t>
      </w:r>
      <w:r w:rsidRPr="00A27113">
        <w:t>et de son Catalogue des Prestations. Ces données sont également utilisées pour la Reconstitution des flux et le traitement des Ecarts conformément aux modalités contractuelles applicables au dispositif de Responsable d’Equilibre ;</w:t>
      </w:r>
    </w:p>
    <w:p w14:paraId="095F922A" w14:textId="77777777" w:rsidR="00A95F3E" w:rsidRPr="00A27113" w:rsidRDefault="00A95F3E" w:rsidP="006F1E53">
      <w:pPr>
        <w:pStyle w:val="SPuce"/>
      </w:pPr>
      <w:r w:rsidRPr="00A27113">
        <w:t>transmettre à RTE, et le cas échéant au Responsable d'Equilibre désigné par  le Fournisseur, les données nécessaires à la reconstitution des flux ;</w:t>
      </w:r>
    </w:p>
    <w:p w14:paraId="3276FF85" w14:textId="77777777" w:rsidR="00A95F3E" w:rsidRPr="00A27113" w:rsidRDefault="00A95F3E" w:rsidP="006F1E53">
      <w:pPr>
        <w:pStyle w:val="SPuce"/>
      </w:pPr>
      <w:r w:rsidRPr="00A27113">
        <w:t>suspendre l’accès au RPD à la demande du Fournisseur ;</w:t>
      </w:r>
    </w:p>
    <w:p w14:paraId="1A3555E1" w14:textId="77777777" w:rsidR="00A95F3E" w:rsidRPr="00A27113" w:rsidRDefault="00A95F3E" w:rsidP="006F1E53">
      <w:pPr>
        <w:pStyle w:val="SPuce"/>
      </w:pPr>
      <w:r w:rsidRPr="00A27113">
        <w:t xml:space="preserve">autoriser l’établissement d’un lien hypertexte du site Internet du Fournisseur vers la page d’accueil du </w:t>
      </w:r>
      <w:r>
        <w:t>Site</w:t>
      </w:r>
      <w:r w:rsidRPr="00A27113">
        <w:t xml:space="preserve"> Internet </w:t>
      </w:r>
      <w:r>
        <w:t>du GRD</w:t>
      </w:r>
      <w:r w:rsidRPr="00A27113">
        <w:t xml:space="preserve"> et vers les pages du </w:t>
      </w:r>
      <w:r>
        <w:t>Site</w:t>
      </w:r>
      <w:r w:rsidRPr="00A27113">
        <w:t xml:space="preserve"> Internet </w:t>
      </w:r>
      <w:r>
        <w:t>du GRD</w:t>
      </w:r>
      <w:r w:rsidRPr="00A27113">
        <w:t xml:space="preserve"> mentionnés dans les présentes dispositions générales.</w:t>
      </w:r>
    </w:p>
    <w:p w14:paraId="0B2C53EF" w14:textId="77777777" w:rsidR="00A95F3E" w:rsidRPr="00A27113" w:rsidRDefault="00A95F3E" w:rsidP="006F1E53">
      <w:pPr>
        <w:pStyle w:val="Titre2"/>
      </w:pPr>
      <w:bookmarkStart w:id="4" w:name="_Toc77686013"/>
      <w:r w:rsidRPr="00A27113">
        <w:t>Le Fournisseur et l’accès du Client au Réseau Public de Distribution</w:t>
      </w:r>
      <w:bookmarkEnd w:id="4"/>
    </w:p>
    <w:p w14:paraId="3E9CBE55" w14:textId="77777777" w:rsidR="00A95F3E" w:rsidRPr="00A27113" w:rsidRDefault="00A95F3E" w:rsidP="006F1E53">
      <w:r w:rsidRPr="00A27113">
        <w:t>Dans le cadre des présentes dispositions générales, le Fournisseur s’engage à :</w:t>
      </w:r>
    </w:p>
    <w:p w14:paraId="1E3E99CC" w14:textId="77777777" w:rsidR="00A95F3E" w:rsidRPr="00A27113" w:rsidRDefault="00A95F3E" w:rsidP="006F1E53">
      <w:pPr>
        <w:pStyle w:val="Corpsdetexte21"/>
        <w:spacing w:before="240"/>
        <w:ind w:left="425" w:hanging="425"/>
        <w:rPr>
          <w:rFonts w:asciiTheme="minorHAnsi" w:hAnsiTheme="minorHAnsi" w:cstheme="minorHAnsi"/>
          <w:color w:val="575757" w:themeColor="text1"/>
          <w:sz w:val="20"/>
        </w:rPr>
      </w:pPr>
      <w:r w:rsidRPr="00A27113">
        <w:rPr>
          <w:rFonts w:asciiTheme="minorHAnsi" w:hAnsiTheme="minorHAnsi" w:cstheme="minorHAnsi"/>
          <w:color w:val="575757" w:themeColor="text1"/>
          <w:sz w:val="20"/>
        </w:rPr>
        <w:sym w:font="Wingdings" w:char="F0E0"/>
      </w:r>
      <w:r w:rsidRPr="00A27113">
        <w:rPr>
          <w:rFonts w:asciiTheme="minorHAnsi" w:hAnsiTheme="minorHAnsi" w:cstheme="minorHAnsi"/>
          <w:color w:val="575757" w:themeColor="text1"/>
          <w:sz w:val="20"/>
        </w:rPr>
        <w:t xml:space="preserve"> Au titre de ses relations contractuelles avec les Clients :</w:t>
      </w:r>
    </w:p>
    <w:p w14:paraId="629EF58F" w14:textId="77777777" w:rsidR="00A95F3E" w:rsidRPr="00A27113" w:rsidRDefault="00A95F3E" w:rsidP="006F1E53">
      <w:pPr>
        <w:pStyle w:val="SPuce"/>
      </w:pPr>
      <w:r w:rsidRPr="00A27113">
        <w:t xml:space="preserve">assurer l’accueil des demandes et des réclamations du  Client </w:t>
      </w:r>
      <w:r>
        <w:t>et à répondre, en tant que responsable de traitement, aux demandes de droit d‘accès, de rectification, de suppression, de droit à la limitation et à la portabilité des clients concernés dans le cadre la loi informatique et Libertés modifiée n°78-17 du 6 janvier 1978 et des</w:t>
      </w:r>
      <w:r w:rsidRPr="007A1791">
        <w:t> </w:t>
      </w:r>
      <w:r>
        <w:t xml:space="preserve">articles 12 à 23 du RGPD </w:t>
      </w:r>
      <w:r w:rsidRPr="00A27113">
        <w:t>;</w:t>
      </w:r>
    </w:p>
    <w:p w14:paraId="073F4F9C" w14:textId="77777777" w:rsidR="00A95F3E" w:rsidRPr="00A27113" w:rsidRDefault="00A95F3E" w:rsidP="006F1E53">
      <w:pPr>
        <w:pStyle w:val="SPuce"/>
      </w:pPr>
      <w:r w:rsidRPr="00A27113">
        <w:t>assurer la reproduction du contrat GRD-F, selon des modalités permettant une consultation simple et complète pour le Client, en annexant à son Contrat Unique l’annexe 2 bis ;</w:t>
      </w:r>
    </w:p>
    <w:p w14:paraId="22DDD34A" w14:textId="77777777" w:rsidR="00A95F3E" w:rsidRPr="00A27113" w:rsidRDefault="00A95F3E" w:rsidP="006F1E53">
      <w:pPr>
        <w:pStyle w:val="SPuce"/>
      </w:pPr>
      <w:r w:rsidRPr="00A27113">
        <w:t>informer le Client relativement aux dispositions générales d’accès au RPD </w:t>
      </w:r>
      <w:r>
        <w:t xml:space="preserve">et en tant que responsable de traitement, à informer le clients dans le respect de la législation sur la protection des données à caractère personnel, au moment de la collecte des données des données personnelles, avec les mentions légales Informatique &amp; Libertés prévues par l’article 32 de la loi Informatique  et libertés et l’articles 13 et 14 du RGPD </w:t>
      </w:r>
      <w:r w:rsidRPr="00A27113">
        <w:t>;</w:t>
      </w:r>
    </w:p>
    <w:p w14:paraId="32FF7987" w14:textId="77777777" w:rsidR="00A95F3E" w:rsidRPr="00A27113" w:rsidRDefault="00A95F3E" w:rsidP="006F1E53">
      <w:pPr>
        <w:pStyle w:val="SPuce"/>
      </w:pPr>
      <w:r w:rsidRPr="00A27113">
        <w:t xml:space="preserve">informer le Client que ce dernier engage sa responsabilité en cas de non respect ou de mauvaise application des conditions relatives à l’accès et à l’utilisation du Réseau Public de Distribution et qu’il devra indemniser tout préjudice qu’il aura causé à un tiers et notamment </w:t>
      </w:r>
      <w:r>
        <w:t>au GRD</w:t>
      </w:r>
      <w:r w:rsidRPr="00A27113">
        <w:t> ;</w:t>
      </w:r>
    </w:p>
    <w:p w14:paraId="0DE5FA00" w14:textId="77777777" w:rsidR="00A95F3E" w:rsidRPr="00A27113" w:rsidRDefault="00A95F3E" w:rsidP="006F1E53">
      <w:pPr>
        <w:pStyle w:val="SPuce"/>
      </w:pPr>
      <w:r w:rsidRPr="00A27113">
        <w:t>informer le Client en cas de défaillance, au sens de l'article L333-3 du code de l’énergie, de la part du Fournisseur.</w:t>
      </w:r>
    </w:p>
    <w:p w14:paraId="4AB49031" w14:textId="77777777" w:rsidR="00A95F3E" w:rsidRPr="00A27113" w:rsidRDefault="00A95F3E" w:rsidP="006F1E53">
      <w:pPr>
        <w:spacing w:before="240"/>
      </w:pPr>
      <w:r w:rsidRPr="00A27113">
        <w:sym w:font="Wingdings" w:char="F0E0"/>
      </w:r>
      <w:r w:rsidRPr="00A27113">
        <w:t xml:space="preserve"> Au titre de ses relations avec </w:t>
      </w:r>
      <w:r>
        <w:t>le GRD</w:t>
      </w:r>
      <w:r w:rsidRPr="00A27113">
        <w:t> :</w:t>
      </w:r>
    </w:p>
    <w:p w14:paraId="0C0C7881" w14:textId="77777777" w:rsidR="00A95F3E" w:rsidRPr="00A27113" w:rsidRDefault="00A95F3E" w:rsidP="006F1E53">
      <w:pPr>
        <w:pStyle w:val="SPuce"/>
      </w:pPr>
      <w:r w:rsidRPr="00A27113">
        <w:t xml:space="preserve">souscrire auprès </w:t>
      </w:r>
      <w:r>
        <w:t>du GRD</w:t>
      </w:r>
      <w:r w:rsidRPr="00A27113">
        <w:t>, pour chacun des Points de Livraison de son Périmètre de Facturation, un accès au RPD respectant la capacité des ouvrages ;</w:t>
      </w:r>
    </w:p>
    <w:p w14:paraId="55779207" w14:textId="77777777" w:rsidR="00A95F3E" w:rsidRPr="00A27113" w:rsidRDefault="00A95F3E" w:rsidP="006F1E53">
      <w:pPr>
        <w:pStyle w:val="SPuce"/>
      </w:pPr>
      <w:r w:rsidRPr="00A27113">
        <w:t xml:space="preserve">payer </w:t>
      </w:r>
      <w:r>
        <w:t>au GRD</w:t>
      </w:r>
      <w:r w:rsidRPr="00A27113">
        <w:t xml:space="preserve"> dans les délais convenus les factures relatives à l’utilisation des Réseaux, ainsi que les prestations concernant les Points de Livraison faisant partie de son périmètre ;</w:t>
      </w:r>
    </w:p>
    <w:p w14:paraId="6729F3FA" w14:textId="77777777" w:rsidR="00A95F3E" w:rsidRPr="00A27113" w:rsidRDefault="00A95F3E" w:rsidP="006F1E53">
      <w:pPr>
        <w:pStyle w:val="SPuce"/>
      </w:pPr>
      <w:r w:rsidRPr="00A27113">
        <w:t xml:space="preserve">fournir et maintenir à tout moment une garantie bancaire à première demande </w:t>
      </w:r>
      <w:r>
        <w:t>ou un dépôt de garantie conformément à l’article 8 du contrat GRD-F</w:t>
      </w:r>
      <w:r w:rsidRPr="00FA158B">
        <w:t xml:space="preserve"> </w:t>
      </w:r>
      <w:r w:rsidRPr="00A27113">
        <w:t>adaptée  sur la base de l’ensemble des Périmètres de facturation agrégés du fournisseur personne morale ;</w:t>
      </w:r>
    </w:p>
    <w:p w14:paraId="4F81AB11" w14:textId="77777777" w:rsidR="00A95F3E" w:rsidRPr="00A27113" w:rsidRDefault="00A95F3E" w:rsidP="006F1E53">
      <w:pPr>
        <w:pStyle w:val="SPuce"/>
      </w:pPr>
      <w:r w:rsidRPr="00A27113">
        <w:t>désigner lors de la conclusion de son contrat GRD-F et conserver pendant toute la durée de son contrat GRD-F un Responsable d’Equilibre pour l'ensemble des Points de Livraison de son Périmètre de Facturation ;</w:t>
      </w:r>
    </w:p>
    <w:p w14:paraId="3C8C7E92" w14:textId="77777777" w:rsidR="00A95F3E" w:rsidRDefault="00A95F3E" w:rsidP="006F1E53">
      <w:pPr>
        <w:pStyle w:val="SPuce"/>
      </w:pPr>
      <w:r>
        <w:t>en tant que responsable de traitement, à collecter et transmettre au GRD</w:t>
      </w:r>
      <w:r w:rsidRPr="00A27113">
        <w:t xml:space="preserve">, </w:t>
      </w:r>
      <w:r>
        <w:t>et à mettre à jour les</w:t>
      </w:r>
      <w:r w:rsidRPr="00A27113">
        <w:t xml:space="preserve"> données </w:t>
      </w:r>
      <w:r>
        <w:t xml:space="preserve">à caractère personnel </w:t>
      </w:r>
      <w:r w:rsidRPr="00A27113">
        <w:t xml:space="preserve">dont il est </w:t>
      </w:r>
      <w:r>
        <w:t>responsable au titre de la législation sur la protection des données personnelles</w:t>
      </w:r>
      <w:r w:rsidRPr="00A27113">
        <w:t xml:space="preserve"> (au sens de l’annexe 4 du contrat GRD-F) pour chaque Point de Livraison concerné</w:t>
      </w:r>
      <w:r>
        <w:t xml:space="preserve"> ; </w:t>
      </w:r>
    </w:p>
    <w:p w14:paraId="74E0873E" w14:textId="77777777" w:rsidR="00A95F3E" w:rsidRPr="00A27113" w:rsidRDefault="00A95F3E" w:rsidP="006F1E53">
      <w:pPr>
        <w:pStyle w:val="SPuce"/>
      </w:pPr>
      <w:r>
        <w:t>à informer le GRD en cas de violation de données à caractère personnel dans les meilleurs délais</w:t>
      </w:r>
      <w:r w:rsidRPr="00A27113">
        <w:t>.</w:t>
      </w:r>
    </w:p>
    <w:p w14:paraId="64B15E6A" w14:textId="77777777" w:rsidR="00A95F3E" w:rsidRPr="00A27113" w:rsidRDefault="00A95F3E" w:rsidP="006F1E53">
      <w:r w:rsidRPr="00A27113">
        <w:t xml:space="preserve">Dans le respect des textes en vigueur, le Fournisseur a la faculté de faire suspendre par </w:t>
      </w:r>
      <w:r>
        <w:t>le GRD</w:t>
      </w:r>
      <w:r w:rsidRPr="00A27113">
        <w:t xml:space="preserve"> l’accès au RPD de Points de Livraison conformément à l’article </w:t>
      </w:r>
      <w:r>
        <w:t>10.2</w:t>
      </w:r>
      <w:r w:rsidRPr="00A27113">
        <w:t xml:space="preserve"> de la présente annexe.</w:t>
      </w:r>
    </w:p>
    <w:p w14:paraId="03800352" w14:textId="77777777" w:rsidR="00A95F3E" w:rsidRPr="00A27113" w:rsidRDefault="00A95F3E" w:rsidP="008F59BE">
      <w:pPr>
        <w:pStyle w:val="Titre2"/>
      </w:pPr>
      <w:bookmarkStart w:id="5" w:name="_Toc77686014"/>
      <w:r w:rsidRPr="00A27113">
        <w:t>Le Client et l’accès au Réseau Public de Distribution</w:t>
      </w:r>
      <w:bookmarkEnd w:id="5"/>
    </w:p>
    <w:p w14:paraId="610C0919" w14:textId="77777777" w:rsidR="00A95F3E" w:rsidRPr="00A27113" w:rsidRDefault="00A95F3E" w:rsidP="006F1E53">
      <w:r w:rsidRPr="00A27113">
        <w:t xml:space="preserve">Afin de lui permettre d’accéder au RPD et de l’utiliser dans le cadre de la conclusion du Contrat Unique, le Client doit s’engager à l’égard du Fournisseur et </w:t>
      </w:r>
      <w:r>
        <w:t>du GRD</w:t>
      </w:r>
      <w:r w:rsidRPr="00A27113">
        <w:t>, à respecter l’ensemble des obligations mises à sa charge par le contrat GRD-F.</w:t>
      </w:r>
    </w:p>
    <w:p w14:paraId="25C5F9A5" w14:textId="77777777" w:rsidR="00A95F3E" w:rsidRPr="00A27113" w:rsidRDefault="00A95F3E" w:rsidP="006F1E53">
      <w:r w:rsidRPr="00A27113">
        <w:t>Dans le cadre des présentes dispositions générales, le Client s’engage notamment à :</w:t>
      </w:r>
    </w:p>
    <w:p w14:paraId="3707088E" w14:textId="77777777" w:rsidR="00A95F3E" w:rsidRPr="00A27113" w:rsidRDefault="00A95F3E" w:rsidP="006F1E53">
      <w:pPr>
        <w:pStyle w:val="SPuce"/>
      </w:pPr>
      <w:r w:rsidRPr="00A27113">
        <w:t>assurer la conformité de ses installations intérieures aux textes et normes applicables ;</w:t>
      </w:r>
    </w:p>
    <w:p w14:paraId="23E012B8" w14:textId="77777777" w:rsidR="00A95F3E" w:rsidRPr="00A27113" w:rsidRDefault="00A95F3E" w:rsidP="006F1E53">
      <w:pPr>
        <w:pStyle w:val="SPuce"/>
      </w:pPr>
      <w:r w:rsidRPr="00A27113">
        <w:t>le cas échéant, assurer la conformité de son poste de livraison ;</w:t>
      </w:r>
    </w:p>
    <w:p w14:paraId="663ADC3B" w14:textId="77777777" w:rsidR="00A95F3E" w:rsidRPr="00A27113" w:rsidRDefault="00A95F3E" w:rsidP="006F1E53">
      <w:pPr>
        <w:pStyle w:val="SPuce"/>
      </w:pPr>
      <w:r w:rsidRPr="00A27113">
        <w:t xml:space="preserve">garantir le libre accès des agents </w:t>
      </w:r>
      <w:r>
        <w:t>du GRD</w:t>
      </w:r>
      <w:r w:rsidRPr="00A27113">
        <w:t xml:space="preserve"> aux Dispositifs de comptage ;</w:t>
      </w:r>
    </w:p>
    <w:p w14:paraId="7B1FB6E5" w14:textId="77777777" w:rsidR="00A95F3E" w:rsidRPr="00A27113" w:rsidRDefault="00A95F3E" w:rsidP="006F1E53">
      <w:pPr>
        <w:pStyle w:val="SPuce"/>
      </w:pPr>
      <w:r w:rsidRPr="00A27113">
        <w:t>respecter les règles de sécurité applicables ;</w:t>
      </w:r>
    </w:p>
    <w:p w14:paraId="0AB86BE0" w14:textId="77777777" w:rsidR="00A95F3E" w:rsidRPr="00A27113" w:rsidRDefault="00A95F3E" w:rsidP="006F1E53">
      <w:pPr>
        <w:pStyle w:val="SPuce"/>
      </w:pPr>
      <w:r w:rsidRPr="00A27113">
        <w:t>respecter un taux limite de perturbations causées par son installation sur le RPD ;</w:t>
      </w:r>
    </w:p>
    <w:p w14:paraId="600F2D71" w14:textId="77777777" w:rsidR="00A95F3E" w:rsidRPr="00A27113" w:rsidRDefault="00A95F3E" w:rsidP="006F1E53">
      <w:pPr>
        <w:pStyle w:val="SPuce"/>
      </w:pPr>
      <w:r w:rsidRPr="00A27113">
        <w:t>veiller à l’intégrité des ouvrages de son raccordement individuel, y compris du Comptage, afin de prévenir tout dommage accidentel ;</w:t>
      </w:r>
    </w:p>
    <w:p w14:paraId="414F2350" w14:textId="77777777" w:rsidR="00A95F3E" w:rsidRPr="00A27113" w:rsidRDefault="00A95F3E" w:rsidP="006F1E53">
      <w:pPr>
        <w:pStyle w:val="SPuce"/>
      </w:pPr>
      <w:r w:rsidRPr="00A27113">
        <w:t>satisfaire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140A970C" w14:textId="77777777" w:rsidR="00A95F3E" w:rsidRPr="00A27113" w:rsidRDefault="00A95F3E" w:rsidP="006F1E53">
      <w:pPr>
        <w:pStyle w:val="SPuce"/>
      </w:pPr>
      <w:r w:rsidRPr="00A27113">
        <w:t>le cas échéant, déclarer et entretenir les moyens de production autonome dont il dispose.</w:t>
      </w:r>
    </w:p>
    <w:p w14:paraId="755158CF" w14:textId="77777777" w:rsidR="00A95F3E" w:rsidRPr="00A27113" w:rsidRDefault="00A95F3E" w:rsidP="008F59BE">
      <w:pPr>
        <w:pStyle w:val="Titre2"/>
      </w:pPr>
      <w:bookmarkStart w:id="6" w:name="_Toc77686015"/>
      <w:r w:rsidRPr="00A27113">
        <w:t xml:space="preserve">Relations directes entre </w:t>
      </w:r>
      <w:r>
        <w:t>le GRD</w:t>
      </w:r>
      <w:r w:rsidRPr="00A27113">
        <w:t xml:space="preserve"> et Client</w:t>
      </w:r>
      <w:bookmarkEnd w:id="6"/>
    </w:p>
    <w:p w14:paraId="4CC8F8E8" w14:textId="77777777" w:rsidR="00A95F3E" w:rsidRPr="00A27113" w:rsidRDefault="00A95F3E" w:rsidP="008F59BE">
      <w:pPr>
        <w:rPr>
          <w:bCs/>
        </w:rPr>
      </w:pPr>
      <w:r w:rsidRPr="00A27113">
        <w:t xml:space="preserve">Dans le cadre de la conclusion et de l’exécution d’un Contrat Unique regroupant fourniture, accès et utilisation du RPD, et ainsi qu’il a été exposé ci-dessus à l’article </w:t>
      </w:r>
      <w:r>
        <w:t>1.3</w:t>
      </w:r>
      <w:r w:rsidRPr="00A27113">
        <w:t>, le Fournisseur est l’interlocuteur privilégié du Client en ce qui concerne non seulement la fourniture de l’énergie électrique mais également en ce qui concerne l’accès au RPD et son utilisation</w:t>
      </w:r>
      <w:r w:rsidRPr="00A27113">
        <w:rPr>
          <w:color w:val="0000FF"/>
        </w:rPr>
        <w:t xml:space="preserve"> </w:t>
      </w:r>
      <w:r w:rsidRPr="00A27113">
        <w:t>dans les conditions prévues par le contrat GRD-F</w:t>
      </w:r>
      <w:r w:rsidRPr="00A27113">
        <w:rPr>
          <w:bCs/>
        </w:rPr>
        <w:t>.</w:t>
      </w:r>
    </w:p>
    <w:p w14:paraId="5501B1EC" w14:textId="77777777" w:rsidR="00A95F3E" w:rsidRPr="00A27113" w:rsidRDefault="00A95F3E" w:rsidP="008F59BE">
      <w:r w:rsidRPr="00A27113">
        <w:t xml:space="preserve">Néanmoins dans le cadre de l’accès et de l’utilisation du RPD, le Client conserve une relation contractuelle directe avec </w:t>
      </w:r>
      <w:r>
        <w:t>le GRD</w:t>
      </w:r>
      <w:r w:rsidRPr="00A27113">
        <w:t>.</w:t>
      </w:r>
    </w:p>
    <w:p w14:paraId="3D139C2D" w14:textId="77777777" w:rsidR="00A95F3E" w:rsidRPr="00A27113" w:rsidRDefault="00A95F3E" w:rsidP="007E3DA6">
      <w:pPr>
        <w:tabs>
          <w:tab w:val="left" w:pos="851"/>
        </w:tabs>
        <w:spacing w:before="240"/>
        <w:ind w:left="851" w:hanging="851"/>
      </w:pPr>
      <w:r w:rsidRPr="00A27113">
        <w:t xml:space="preserve">Le Client peut s’adresser directement </w:t>
      </w:r>
      <w:r>
        <w:t>au GRD</w:t>
      </w:r>
      <w:r w:rsidRPr="00A27113">
        <w:t xml:space="preserve"> et </w:t>
      </w:r>
      <w:r>
        <w:t>le GRD</w:t>
      </w:r>
      <w:r w:rsidRPr="00A27113">
        <w:t xml:space="preserve"> peut être amenée à intervenir directement auprès du Client, notamment dans les cas suivants pour lesquels le Fournisseur est tenu informé :</w:t>
      </w:r>
    </w:p>
    <w:p w14:paraId="345B4456" w14:textId="77777777" w:rsidR="00A95F3E" w:rsidRPr="00A27113" w:rsidRDefault="00A95F3E" w:rsidP="007E3DA6">
      <w:pPr>
        <w:pStyle w:val="SPuce"/>
      </w:pPr>
      <w:r w:rsidRPr="00A27113">
        <w:t>prise de rendez-vous lorsque le rendez-vous pris par le Fournisseur ne peut être honoré, ou en cas d’échec de          télé-opération pour les Clients équipés d’un Compteur Communicant ;</w:t>
      </w:r>
    </w:p>
    <w:p w14:paraId="2C5976DA" w14:textId="77777777" w:rsidR="00A95F3E" w:rsidRPr="00A27113" w:rsidRDefault="00A95F3E" w:rsidP="007E3DA6">
      <w:pPr>
        <w:pStyle w:val="SPuce"/>
      </w:pPr>
      <w:r w:rsidRPr="00A27113">
        <w:t xml:space="preserve">établissement, modification, contrôle, entretien, renouvellement et relevé des Dispositifs de Comptage, conformément au chapitre </w:t>
      </w:r>
      <w:r>
        <w:t>3</w:t>
      </w:r>
      <w:r w:rsidRPr="00A27113">
        <w:t xml:space="preserve"> des présentes dispositions générales ;</w:t>
      </w:r>
    </w:p>
    <w:p w14:paraId="7F315A57" w14:textId="77777777" w:rsidR="00A95F3E" w:rsidRPr="00A27113" w:rsidRDefault="00A95F3E" w:rsidP="007E3DA6">
      <w:pPr>
        <w:pStyle w:val="SPuce"/>
      </w:pPr>
      <w:r w:rsidRPr="00A27113">
        <w:t>dépannage de ces Dispositifs de comptage ;</w:t>
      </w:r>
    </w:p>
    <w:p w14:paraId="2363B0F2" w14:textId="77777777" w:rsidR="00A95F3E" w:rsidRPr="00A27113" w:rsidRDefault="00A95F3E" w:rsidP="007E3DA6">
      <w:pPr>
        <w:pStyle w:val="SPuce"/>
      </w:pPr>
      <w:r w:rsidRPr="00A27113">
        <w:t xml:space="preserve">réclamation mettant en cause directement la responsabilité </w:t>
      </w:r>
      <w:r>
        <w:t>du GRD</w:t>
      </w:r>
      <w:r w:rsidRPr="00A27113">
        <w:t xml:space="preserve"> en manquement à ses obligations, vis-à-vis du Client, mises à sa charge aux termes du contrat GRD-F ;</w:t>
      </w:r>
    </w:p>
    <w:p w14:paraId="4287F8C6" w14:textId="77777777" w:rsidR="00A95F3E" w:rsidRPr="00A27113" w:rsidRDefault="00A95F3E" w:rsidP="007E3DA6">
      <w:pPr>
        <w:pStyle w:val="SPuce"/>
      </w:pPr>
      <w:r w:rsidRPr="00A27113">
        <w:t xml:space="preserve">contrôle du respect des engagements du Client en matière de qualité et de non-perturbation du RPD, conformément au chapitre </w:t>
      </w:r>
      <w:r>
        <w:t>5</w:t>
      </w:r>
      <w:r w:rsidRPr="00A27113">
        <w:t xml:space="preserve"> des présentes dispositions générales ;</w:t>
      </w:r>
    </w:p>
    <w:p w14:paraId="755F9AFE" w14:textId="77777777" w:rsidR="00A95F3E" w:rsidRDefault="00A95F3E" w:rsidP="007E3DA6">
      <w:pPr>
        <w:pStyle w:val="SPuce"/>
      </w:pPr>
      <w:r w:rsidRPr="00A27113">
        <w:t xml:space="preserve">enquêtes </w:t>
      </w:r>
      <w:r>
        <w:t>que le GRD</w:t>
      </w:r>
      <w:r w:rsidRPr="00A27113">
        <w:t xml:space="preserve"> peut être amené à entreprendre auprès des Clients – éventuellement via le Fournisseur - en vue d’améliorer la qualité de ses prestations</w:t>
      </w:r>
    </w:p>
    <w:p w14:paraId="6FCA0505" w14:textId="77777777" w:rsidR="00A95F3E" w:rsidRPr="00A27113" w:rsidRDefault="00A95F3E" w:rsidP="007E3DA6">
      <w:pPr>
        <w:pStyle w:val="SPuce"/>
      </w:pPr>
      <w:r>
        <w:t>dans le cas de modification des ouvrages de raccordement</w:t>
      </w:r>
      <w:r w:rsidRPr="00A27113">
        <w:t>.</w:t>
      </w:r>
    </w:p>
    <w:p w14:paraId="342F8FAC" w14:textId="77777777" w:rsidR="00A95F3E" w:rsidRPr="00A27113" w:rsidRDefault="00A95F3E" w:rsidP="007E3DA6">
      <w:r w:rsidRPr="00A27113">
        <w:t xml:space="preserve">Les prestations payantes au sens du Catalogue des prestations </w:t>
      </w:r>
      <w:r>
        <w:t>du GRD</w:t>
      </w:r>
      <w:r w:rsidRPr="00A27113">
        <w:t xml:space="preserve"> sont facturées par ce dernier au Fournisseur dans le cadre de l’exécution du contrat GRD-F applicable, à charge pour ce dernier de les re-facturer auprès du Client en application du Contrat Unique. Les éventuelles prestations donnant lieu à un devis préalable font l’objet d’une information au Fournisseur. </w:t>
      </w:r>
    </w:p>
    <w:p w14:paraId="1FA780E5" w14:textId="77777777" w:rsidR="00A95F3E" w:rsidRPr="00A27113" w:rsidRDefault="00A95F3E" w:rsidP="007E3DA6">
      <w:r w:rsidRPr="00A27113">
        <w:t xml:space="preserve">Dans le cas où </w:t>
      </w:r>
      <w:r>
        <w:t>le GRD</w:t>
      </w:r>
      <w:r w:rsidRPr="00A27113">
        <w:t xml:space="preserve"> n’est pas en mesure d’honorer un rendez-vous, il lui appartient d’en informer le Client, au moins 2 jours ouvrés avant la date fixée. Si elle ne le fait pas et que le rendez-vous est manqué du fait </w:t>
      </w:r>
      <w:r>
        <w:t>du GRD</w:t>
      </w:r>
      <w:r w:rsidRPr="00A27113">
        <w:t xml:space="preserve">, </w:t>
      </w:r>
      <w:r>
        <w:t>le GRD</w:t>
      </w:r>
      <w:r w:rsidRPr="00A27113">
        <w:t xml:space="preserve"> verse automatiquement, au bénéf</w:t>
      </w:r>
      <w:r>
        <w:t>ice du Client concerné, via son</w:t>
      </w:r>
      <w:r w:rsidRPr="00A27113">
        <w:t xml:space="preserve"> Fournisseur, un montant égal à celui facturé en cas de déplacement vain.</w:t>
      </w:r>
    </w:p>
    <w:p w14:paraId="780888A3" w14:textId="77777777" w:rsidR="00A95F3E" w:rsidRPr="00A27113" w:rsidRDefault="00A95F3E" w:rsidP="007E3DA6">
      <w:r w:rsidRPr="00A27113">
        <w:t xml:space="preserve">Dans le cas où un rendez-vous nécessaire à la réalisation d’une prestation par </w:t>
      </w:r>
      <w:r>
        <w:t>le GRD</w:t>
      </w:r>
      <w:r w:rsidRPr="00A27113">
        <w:t xml:space="preserve"> est manqué du fait du Client ou du Fournisseur, </w:t>
      </w:r>
      <w:r>
        <w:t>le GRD</w:t>
      </w:r>
      <w:r w:rsidRPr="00A27113">
        <w:t xml:space="preserve"> facture au Fournisseur un frais pour déplacement vain sauf lorsque le Client ou le Fournisseur a reporté ou annulé ce rendez-vous plus de 2 jours ouvrés avant la date fixée. </w:t>
      </w:r>
    </w:p>
    <w:p w14:paraId="7A6EBEEF" w14:textId="77777777" w:rsidR="00A95F3E" w:rsidRPr="00A27113" w:rsidRDefault="00A95F3E" w:rsidP="007E3DA6">
      <w:r w:rsidRPr="00A27113">
        <w:t xml:space="preserve">Si le Client démontre qu’il n’a pas été en mesure d’honorer, d’annuler ou de reporter ce rendez-vous en raison d’un cas de force majeure, </w:t>
      </w:r>
      <w:r>
        <w:t>le GRD</w:t>
      </w:r>
      <w:r w:rsidRPr="00A27113">
        <w:t xml:space="preserve"> procède alors au remboursement du frais appliqué via son Fournisseur. </w:t>
      </w:r>
    </w:p>
    <w:p w14:paraId="059FE26B" w14:textId="77777777" w:rsidR="00A95F3E" w:rsidRPr="00A27113" w:rsidRDefault="00A95F3E" w:rsidP="007E3DA6">
      <w:r w:rsidRPr="00A27113">
        <w:t xml:space="preserve">Les frais pour déplacement vain ou de dédit sont régis par les décisions sur les tarifs d’utilisation du RPD et des prestations annexes réalisées à titre exclusif par le GRD. Leur montant figure au catalogue des prestations </w:t>
      </w:r>
      <w:r>
        <w:t>du GRD</w:t>
      </w:r>
      <w:r w:rsidRPr="00A27113">
        <w:t xml:space="preserve"> en vigueur. </w:t>
      </w:r>
    </w:p>
    <w:p w14:paraId="61BDE5A1" w14:textId="77777777" w:rsidR="00A95F3E" w:rsidRPr="00A27113" w:rsidRDefault="00A95F3E" w:rsidP="00DE0F16">
      <w:pPr>
        <w:spacing w:before="240"/>
      </w:pPr>
      <w:r w:rsidRPr="00A27113">
        <w:t xml:space="preserve">Le Client peut se prévaloir directement à l’égard </w:t>
      </w:r>
      <w:r>
        <w:t>du GRD</w:t>
      </w:r>
      <w:r w:rsidRPr="00A27113">
        <w:t xml:space="preserve"> des engagements </w:t>
      </w:r>
      <w:r>
        <w:t>du GRD</w:t>
      </w:r>
      <w:r w:rsidRPr="00A27113">
        <w:t xml:space="preserve"> vis-à-vis du Client contenus dans le contrat GRD-F.</w:t>
      </w:r>
    </w:p>
    <w:p w14:paraId="4D1F4B9F" w14:textId="77777777" w:rsidR="00A95F3E" w:rsidRPr="00A27113" w:rsidRDefault="00A95F3E" w:rsidP="00DE0F16">
      <w:r w:rsidRPr="00A27113">
        <w:t xml:space="preserve">Notamment, en cas de non respect desdits engagements par </w:t>
      </w:r>
      <w:r>
        <w:t>le GRD</w:t>
      </w:r>
      <w:r w:rsidRPr="00A27113">
        <w:t xml:space="preserve">, le Client bénéficie expressément de la possibilité de mettre en jeu la responsabilité contractuelle directe </w:t>
      </w:r>
      <w:r>
        <w:t>du GRD</w:t>
      </w:r>
      <w:r w:rsidRPr="00A27113">
        <w:t>.</w:t>
      </w:r>
    </w:p>
    <w:p w14:paraId="44A4EF73" w14:textId="77777777" w:rsidR="00A95F3E" w:rsidRPr="00A27113" w:rsidRDefault="00A95F3E" w:rsidP="00DE0F16">
      <w:pPr>
        <w:spacing w:before="240"/>
      </w:pPr>
      <w:r>
        <w:t>Le GRD</w:t>
      </w:r>
      <w:r w:rsidRPr="00A27113">
        <w:t xml:space="preserve"> est l’interlocut</w:t>
      </w:r>
      <w:r>
        <w:t>eur</w:t>
      </w:r>
      <w:r w:rsidRPr="00A27113">
        <w:t xml:space="preserve"> contractuel direct du Client dans le cadre des Conventions distinctes de Raccordement et d’Exploitation, lorsque le Client en est le signataire. Toutefois, le Client a la possibilité d’associer le Fournisseur à ses démarches auprès </w:t>
      </w:r>
      <w:r>
        <w:t>du GRD</w:t>
      </w:r>
      <w:r w:rsidRPr="00A27113">
        <w:t>.</w:t>
      </w:r>
    </w:p>
    <w:p w14:paraId="0682DCB5" w14:textId="77777777" w:rsidR="00A95F3E" w:rsidRPr="00A27113" w:rsidRDefault="00A95F3E" w:rsidP="00DE0F16">
      <w:r w:rsidRPr="00A27113">
        <w:t>S’agissant des Conventions de Raccordement et/ou d’Exploitation préexistantes, les droits et les obligations des Utilisateurs concernés par de telles conventions ne sont pas remis en cause par la conclusion d’un Contrat Unique avec le Client.</w:t>
      </w:r>
    </w:p>
    <w:p w14:paraId="6559BBA2" w14:textId="77777777" w:rsidR="00A95F3E" w:rsidRPr="00A27113" w:rsidRDefault="00A95F3E" w:rsidP="00DE0F16">
      <w:pPr>
        <w:spacing w:before="240"/>
      </w:pPr>
      <w:r w:rsidRPr="00A27113">
        <w:t xml:space="preserve">Le Fournisseur est le destinataire privilégié des demandes du Client relatives à l’exercice de ses droits sur ses données personnelles mentionnés à l’article </w:t>
      </w:r>
      <w:r>
        <w:t>1.6.2</w:t>
      </w:r>
      <w:r w:rsidRPr="00A27113">
        <w:t xml:space="preserve"> de la présente annexe.  </w:t>
      </w:r>
    </w:p>
    <w:p w14:paraId="3E801250" w14:textId="77777777" w:rsidR="00A95F3E" w:rsidRPr="00A27113" w:rsidRDefault="00A95F3E" w:rsidP="00DE0F16">
      <w:r w:rsidRPr="00A27113">
        <w:t>Le Fournisseur, lorsqu’il reçoit d’un Client une demande relative à des données qui concernent le Client et qu’il détient, adresse directement sa réponse au Client. </w:t>
      </w:r>
    </w:p>
    <w:p w14:paraId="524B6672" w14:textId="77777777" w:rsidR="00A95F3E" w:rsidRPr="00A27113" w:rsidRDefault="00A95F3E" w:rsidP="00DE0F16">
      <w:r w:rsidRPr="00A27113">
        <w:t xml:space="preserve">Le Fournisseur, lorsqu’il reçoit d’un Client une demande d’exercice de ses droits relatifs à des données qui concernent le Client et qui sont détenues par </w:t>
      </w:r>
      <w:r>
        <w:t>le GRD</w:t>
      </w:r>
      <w:r w:rsidRPr="00A27113">
        <w:t xml:space="preserve">, communique sans délai la demande à celle-ci via la Plate-forme d’échanges et </w:t>
      </w:r>
      <w:r>
        <w:t>le GRD</w:t>
      </w:r>
      <w:r w:rsidRPr="00A27113">
        <w:t xml:space="preserve"> adresse sa réponse au Fournisseur, qui la transmet au Client.</w:t>
      </w:r>
    </w:p>
    <w:p w14:paraId="31A60605" w14:textId="77777777" w:rsidR="00A95F3E" w:rsidRPr="00A27113" w:rsidRDefault="00A95F3E" w:rsidP="00DE0F16">
      <w:r w:rsidRPr="00A27113">
        <w:t xml:space="preserve">Lorsque le Client adresse directement </w:t>
      </w:r>
      <w:r>
        <w:t>au GRD</w:t>
      </w:r>
      <w:r w:rsidRPr="00A27113">
        <w:t xml:space="preserve"> sa demande portant sur des données détenues par cette dernière, la réponse est portée directement par </w:t>
      </w:r>
      <w:r>
        <w:t>le GRD</w:t>
      </w:r>
      <w:r w:rsidRPr="00A27113">
        <w:t xml:space="preserve"> au Client. </w:t>
      </w:r>
      <w:r>
        <w:t>Le GRD</w:t>
      </w:r>
      <w:r w:rsidRPr="00A27113">
        <w:t xml:space="preserve"> informe le Fournisseur de la réponse apportée au Client.</w:t>
      </w:r>
    </w:p>
    <w:p w14:paraId="4941C927" w14:textId="77777777" w:rsidR="00A95F3E" w:rsidRPr="00A27113" w:rsidRDefault="00A95F3E" w:rsidP="00AE08BA">
      <w:pPr>
        <w:pStyle w:val="Titre2"/>
      </w:pPr>
      <w:bookmarkStart w:id="7" w:name="_Toc77686016"/>
      <w:r w:rsidRPr="00A27113">
        <w:t xml:space="preserve">Protection des informations commercialement sensibles et des données </w:t>
      </w:r>
      <w:r>
        <w:t>à</w:t>
      </w:r>
      <w:r w:rsidRPr="00A27113">
        <w:t xml:space="preserve"> caractère personnel</w:t>
      </w:r>
      <w:bookmarkEnd w:id="7"/>
    </w:p>
    <w:p w14:paraId="7BCEC71D" w14:textId="77777777" w:rsidR="00A95F3E" w:rsidRPr="00A27113" w:rsidRDefault="00A95F3E" w:rsidP="00AE08BA">
      <w:pPr>
        <w:pStyle w:val="Titre3"/>
      </w:pPr>
      <w:bookmarkStart w:id="8" w:name="_Toc77686017"/>
      <w:r w:rsidRPr="00A27113">
        <w:t>Protection des informations commercialement sensibles</w:t>
      </w:r>
      <w:bookmarkEnd w:id="8"/>
      <w:r w:rsidRPr="00A27113">
        <w:t> </w:t>
      </w:r>
    </w:p>
    <w:p w14:paraId="46B99D98" w14:textId="77777777" w:rsidR="00A95F3E" w:rsidRPr="00A27113" w:rsidRDefault="00A95F3E" w:rsidP="00DE412E">
      <w:r>
        <w:t>Le GRD</w:t>
      </w:r>
      <w:r w:rsidRPr="00A27113">
        <w:t xml:space="preserve"> préserve la confidentialité des informations d’ordre économique, commercial, industriel, financier ou technique dont elle a connaissance dans l’exercice de ses missions, conformément aux dispositions de l’article L111-73 du code de l’énergie.</w:t>
      </w:r>
    </w:p>
    <w:p w14:paraId="59DFA603" w14:textId="77777777" w:rsidR="00A95F3E" w:rsidRPr="00A27113" w:rsidRDefault="00A95F3E" w:rsidP="00A2100D">
      <w:pPr>
        <w:pStyle w:val="Titre3"/>
      </w:pPr>
      <w:bookmarkStart w:id="9" w:name="_Toc77686018"/>
      <w:r w:rsidRPr="00A27113">
        <w:t>Protection des données à caractère personnel</w:t>
      </w:r>
      <w:bookmarkEnd w:id="9"/>
      <w:r w:rsidRPr="00A27113">
        <w:t> </w:t>
      </w:r>
    </w:p>
    <w:p w14:paraId="73F09A1A" w14:textId="77777777" w:rsidR="00A95F3E" w:rsidRDefault="00A95F3E" w:rsidP="00156AAD">
      <w:r>
        <w:t>Le GRD</w:t>
      </w:r>
      <w:r w:rsidRPr="00A27113">
        <w:t xml:space="preserve"> protège</w:t>
      </w:r>
      <w:r>
        <w:t>, collecte et traite</w:t>
      </w:r>
      <w:r w:rsidRPr="00A27113">
        <w:t xml:space="preserve"> les données à caractère personnel</w:t>
      </w:r>
      <w:r>
        <w:t xml:space="preserve">, conformément à la règlementation relative à la protection des données personnelles et, en particulier la </w:t>
      </w:r>
      <w:r w:rsidRPr="00A27113">
        <w:t xml:space="preserve">loi n° 78-17 du 6 janvier 1978 modifiée, relative à l’informatique, aux fichiers et aux libertés, dite « Informatique et </w:t>
      </w:r>
      <w:r w:rsidRPr="009C031B">
        <w:t xml:space="preserve">Libertés » et </w:t>
      </w:r>
      <w:r>
        <w:t>le RGPD</w:t>
      </w:r>
      <w:r w:rsidRPr="009C031B">
        <w:t>.</w:t>
      </w:r>
      <w:r w:rsidRPr="007E3DA6">
        <w:t xml:space="preserve"> </w:t>
      </w:r>
    </w:p>
    <w:p w14:paraId="7054CF8E" w14:textId="77777777" w:rsidR="00A95F3E" w:rsidRDefault="00A95F3E" w:rsidP="0057258B">
      <w:r>
        <w:t xml:space="preserve">Le GRD ne fait pas de prospection commerciale et ne vend aucune donnée. </w:t>
      </w:r>
    </w:p>
    <w:p w14:paraId="00AB5B06" w14:textId="77777777" w:rsidR="00A95F3E" w:rsidRDefault="00A95F3E" w:rsidP="001C2C54">
      <w:r>
        <w:t xml:space="preserve">Le GRD traite les données personnelles collectées et transmises par les fournisseurs pour l’exercice de ses missions. </w:t>
      </w:r>
    </w:p>
    <w:p w14:paraId="48CF9FF7" w14:textId="77777777" w:rsidR="00A95F3E" w:rsidRDefault="00A95F3E" w:rsidP="005A3E8C">
      <w:r>
        <w:t xml:space="preserve">Il s’agit notamment du nom, prénom, civilité, adresse du PDL (Point de Livraison), l’adresse postale et le cas échéant, des données complémentaires : mail du Client et/ou son numéro de téléphone. </w:t>
      </w:r>
    </w:p>
    <w:p w14:paraId="603895B4" w14:textId="77777777" w:rsidR="00A95F3E" w:rsidRDefault="00A95F3E">
      <w:r>
        <w:t>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w:t>
      </w:r>
    </w:p>
    <w:p w14:paraId="75D410ED" w14:textId="77777777" w:rsidR="00A95F3E" w:rsidRDefault="00A95F3E">
      <w:r>
        <w:t>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w:t>
      </w:r>
    </w:p>
    <w:p w14:paraId="639A3B92" w14:textId="77777777" w:rsidR="00A95F3E" w:rsidRPr="004D661D" w:rsidRDefault="00A95F3E" w:rsidP="00490201">
      <w:pPr>
        <w:pStyle w:val="SPuce"/>
      </w:pPr>
      <w:r>
        <w:t>par défaut, le GRD</w:t>
      </w:r>
      <w:r w:rsidRPr="004D661D">
        <w:t xml:space="preserve"> collecte les données de consommation journalière (consommation globale du </w:t>
      </w:r>
      <w:r>
        <w:t>PRM</w:t>
      </w:r>
      <w:r w:rsidRPr="004D661D">
        <w:t xml:space="preserve"> sur une journée) pour permettre au Client de consulter gratuitement l’historique de ses consommations, conformément au code de l’énergie.</w:t>
      </w:r>
    </w:p>
    <w:p w14:paraId="2EEC4A66" w14:textId="77777777" w:rsidR="00A95F3E" w:rsidRDefault="00A95F3E" w:rsidP="00490201">
      <w:pPr>
        <w:pStyle w:val="SPuce"/>
      </w:pPr>
      <w:r>
        <w:t>s</w:t>
      </w:r>
      <w:r w:rsidRPr="009C031B">
        <w:t xml:space="preserve">auf opposition du Client, les données de consommation fines (horaires et/ou à la demi-heure) sont conservées par défaut, en local, dans la mémoire du compteur du Client sans transmission </w:t>
      </w:r>
      <w:r>
        <w:t>au GRD</w:t>
      </w:r>
      <w:r w:rsidRPr="009C031B">
        <w:t xml:space="preserve"> ou au Fournisseur ou à un tiers.</w:t>
      </w:r>
    </w:p>
    <w:p w14:paraId="39EEF649" w14:textId="77777777" w:rsidR="00A95F3E" w:rsidRDefault="00A95F3E" w:rsidP="00AE08BA">
      <w:r>
        <w:t>Ces données de consommation fines (horaire et/ou à la demi-heure) ne sont collectées par le GRD qu'avec le consentement libre, spécifique, éclairé et univoque du Client ou, de manière ponctuelle lorsqu’elles sont nécessaires à l’accomplissement des missions de service public du GRD définies par le code de l’énergie.</w:t>
      </w:r>
    </w:p>
    <w:p w14:paraId="1F6B1016" w14:textId="77777777" w:rsidR="00A95F3E" w:rsidRDefault="00A95F3E" w:rsidP="00DE412E">
      <w:r>
        <w:t xml:space="preserve">La transmission des données de consommation fines (horaires et/ou à la demi-heure) au Fournisseur ou à des tiers ne peut intervenir qu’avec l’accord/le consentement préalable libre, explicite, éclairé et univoque du Client conformément à la législation sur la protection des données personnelles précitée. </w:t>
      </w:r>
    </w:p>
    <w:p w14:paraId="6954CCFE" w14:textId="77777777" w:rsidR="00A95F3E" w:rsidRDefault="00A95F3E" w:rsidP="00A2100D">
      <w:r>
        <w:t xml:space="preserve">Cette autorisation peut être adressée soit directement au GRD, soit via le Fournisseur. Dans ce dernier cas, le Fournisseur s’engage à recueillir le consentement libre, spécifique, éclairé et univoque préalable du Client et à en apporter la preuve sur simple demande du GRD. </w:t>
      </w:r>
      <w:r w:rsidRPr="00194349">
        <w:t>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w:t>
      </w:r>
    </w:p>
    <w:p w14:paraId="75492488" w14:textId="77777777" w:rsidR="00A95F3E" w:rsidRDefault="00A95F3E" w:rsidP="00156AAD">
      <w:r>
        <w:t>Les données de consommation ne peuvent être conservées que pour une durée maximum de 24 mois. Le GRD peut être amené à conserver les données personnelles du Client collectées par le Fournisseur et transmises au GRD (hors données de consommation) pendant toute la durée du contrat unique et pendant une période maximale de 5 ans à compter de la résiliation de ce contrat.</w:t>
      </w:r>
    </w:p>
    <w:p w14:paraId="120B63B4" w14:textId="77777777" w:rsidR="00A95F3E" w:rsidRDefault="00A95F3E" w:rsidP="00DE412E">
      <w:pPr>
        <w:pStyle w:val="07erdffr"/>
      </w:pPr>
    </w:p>
    <w:p w14:paraId="59FCB240" w14:textId="77777777" w:rsidR="00A95F3E" w:rsidRDefault="00A95F3E" w:rsidP="00AE08BA">
      <w:r>
        <w:t>Le Client dispose d’un droit d’accès, de rectification et d’opposition pour des motifs légitimes et d’un droit à la limitation du traitement et à la portabilité aux données à caractère personnel le concernant.</w:t>
      </w:r>
    </w:p>
    <w:p w14:paraId="4E4F347D" w14:textId="77777777" w:rsidR="00A95F3E" w:rsidRDefault="00A95F3E" w:rsidP="00DE412E">
      <w:r>
        <w:t>Pour exercer son droit de rectification, et de suppression, de limitation et à la portabilité pour les données collectées par le Fournisseur et transmises au GRD, le Client contactera son Fournisseur. Le Fournisseur informera le GRD de l’actualisation des données du Client via la Plateforme d’échanges.</w:t>
      </w:r>
    </w:p>
    <w:p w14:paraId="4F9D872F" w14:textId="77777777" w:rsidR="00A95F3E" w:rsidRDefault="00A95F3E" w:rsidP="00A2100D">
      <w:r>
        <w:t>Dans le cas où le Fournisseur prend également en charge la demande du Client de rectification, de suppression, de limitation et à la portabilité pour les données collectées pour les données collectées et utilisées par le GRD, le Fournisseur devra adresser sa demande au GRD.</w:t>
      </w:r>
    </w:p>
    <w:p w14:paraId="695805DD" w14:textId="77777777" w:rsidR="00A95F3E" w:rsidRDefault="00A95F3E" w:rsidP="00E22AA4">
      <w:r>
        <w:t xml:space="preserve">Le Client peut exercer ce droit directement par courrier au GRD : </w:t>
      </w:r>
      <w:r>
        <w:rPr>
          <w:noProof/>
        </w:rPr>
        <w:t>Régie d'Electricité d'Elbeuf 1 rue du 1° Mai 76500 ELBEUF</w:t>
      </w:r>
      <w:r>
        <w:t>.</w:t>
      </w:r>
    </w:p>
    <w:p w14:paraId="70E5EFC9" w14:textId="77777777" w:rsidR="00A95F3E" w:rsidRDefault="00A95F3E" w:rsidP="00AE08BA">
      <w:r>
        <w:t>Le courrier doit préciser le nom et prénom, adresse actuelle et référence PDL du Client accompagnée d’une pièce justificative d’identité.</w:t>
      </w:r>
    </w:p>
    <w:p w14:paraId="402CDF91" w14:textId="77777777" w:rsidR="00A95F3E" w:rsidRPr="00886D22" w:rsidRDefault="00A95F3E" w:rsidP="00DE412E">
      <w:r w:rsidRPr="00886D22">
        <w:t xml:space="preserve">Dans le cas où </w:t>
      </w:r>
      <w:r>
        <w:t xml:space="preserve">le GRD </w:t>
      </w:r>
      <w:r w:rsidRPr="00886D22">
        <w:t xml:space="preserve">reçoit une demande du Client de rectification, de suppression, de limitation et à la portabilité pour les données collectées par </w:t>
      </w:r>
      <w:r>
        <w:t>le GRD</w:t>
      </w:r>
      <w:r w:rsidRPr="00886D22">
        <w:t xml:space="preserve"> exclusivement alors </w:t>
      </w:r>
      <w:r>
        <w:t>le GRD</w:t>
      </w:r>
      <w:r w:rsidRPr="00886D22">
        <w:t xml:space="preserve"> traite la demande Client et informe ce dernier qu’il doit s’adresser à son Fournisseur pour les données contractuelles collectées par le Fournisseur.</w:t>
      </w:r>
    </w:p>
    <w:p w14:paraId="148986BC" w14:textId="77777777" w:rsidR="00A95F3E" w:rsidRDefault="00A95F3E" w:rsidP="00A2100D">
      <w:r w:rsidRPr="00886D22">
        <w:t xml:space="preserve">Dans le cas où </w:t>
      </w:r>
      <w:r>
        <w:t>le GRD</w:t>
      </w:r>
      <w:r w:rsidRPr="00886D22">
        <w:t xml:space="preserve"> reçoit une demande Client de rectification, de suppression, de limitation et à la portabilité pour les données collectées par le Fournisseur, </w:t>
      </w:r>
      <w:r>
        <w:t>le GRD</w:t>
      </w:r>
      <w:r w:rsidRPr="00886D22">
        <w:t xml:space="preserve"> informera le Client par courrier que sa demande doit être adressée au Fournisseur.</w:t>
      </w:r>
    </w:p>
    <w:p w14:paraId="7B029197" w14:textId="77777777" w:rsidR="00A95F3E" w:rsidRPr="00A27113" w:rsidRDefault="00A95F3E" w:rsidP="0057258B">
      <w:r>
        <w:t>Le Client a le droit d’introduire une réclamation auprès de la CNIL.</w:t>
      </w:r>
    </w:p>
    <w:p w14:paraId="2C985002" w14:textId="77777777" w:rsidR="00A95F3E" w:rsidRDefault="00A95F3E" w:rsidP="001C2C54">
      <w:r w:rsidRPr="00A27113">
        <w:t xml:space="preserve">La collecte de certaines données est obligatoire, notamment l’identité ou la raison sociale et l’adresse du client, et permet </w:t>
      </w:r>
      <w:r>
        <w:t>au GRD</w:t>
      </w:r>
      <w:r w:rsidRPr="00A27113">
        <w:t xml:space="preserve"> d’assurer l’exécution du Contrat Unique signé entre le Client et son Fournisseur, pour l’accès et l’utilisation du RPD géré par </w:t>
      </w:r>
      <w:r>
        <w:t>le GRD</w:t>
      </w:r>
      <w:r w:rsidRPr="00A27113">
        <w:t xml:space="preserve">. Par ailleurs, </w:t>
      </w:r>
      <w:r>
        <w:t>le GRD</w:t>
      </w:r>
      <w:r w:rsidRPr="00A27113">
        <w:t xml:space="preserve"> pourrait être amené à collecter des informations complémentaires facultatives pour l’exécution du présent contrat mais néanmoins nécessaires dans le cadre de l’exécution de ses missions de service public</w:t>
      </w:r>
      <w:r>
        <w:t>,</w:t>
      </w:r>
      <w:r w:rsidRPr="009E067E">
        <w:t xml:space="preserve"> </w:t>
      </w:r>
      <w:r>
        <w:t>comme l’adresse électronique et le numéro de téléphone</w:t>
      </w:r>
      <w:r w:rsidRPr="007E3DA6">
        <w:t>.</w:t>
      </w:r>
    </w:p>
    <w:p w14:paraId="6A4223D5" w14:textId="77777777" w:rsidR="00A95F3E" w:rsidRPr="00A27113" w:rsidRDefault="00A95F3E" w:rsidP="005A3E8C">
      <w:r w:rsidRPr="0053072D">
        <w:t>Le droit d’opposition et de suppression ne peut être exercé par le Client uniquement pour les données personnelles qui ne sont pas indispensables</w:t>
      </w:r>
      <w:r>
        <w:t xml:space="preserve"> à l’exercice des obligations légales du GRD</w:t>
      </w:r>
      <w:r w:rsidRPr="0053072D">
        <w:t>.</w:t>
      </w:r>
    </w:p>
    <w:p w14:paraId="06658AAF" w14:textId="77777777" w:rsidR="00A95F3E" w:rsidRPr="00A27113" w:rsidRDefault="00A95F3E" w:rsidP="007E3DA6">
      <w:pPr>
        <w:pStyle w:val="Titre1"/>
        <w:rPr>
          <w:bCs/>
          <w:caps/>
        </w:rPr>
      </w:pPr>
      <w:bookmarkStart w:id="10" w:name="_Toc77686019"/>
      <w:r w:rsidRPr="00A27113">
        <w:t>Raccordement</w:t>
      </w:r>
      <w:bookmarkEnd w:id="10"/>
    </w:p>
    <w:p w14:paraId="0086090F" w14:textId="77777777" w:rsidR="00A95F3E" w:rsidRPr="00A27113" w:rsidRDefault="00A95F3E" w:rsidP="007E3DA6">
      <w:pPr>
        <w:pStyle w:val="STitre2"/>
      </w:pPr>
      <w:bookmarkStart w:id="11" w:name="_Toc77686020"/>
      <w:r w:rsidRPr="00A27113">
        <w:t>Ouvrages de raccordement</w:t>
      </w:r>
      <w:bookmarkEnd w:id="11"/>
    </w:p>
    <w:p w14:paraId="311641BE" w14:textId="77777777" w:rsidR="00A95F3E" w:rsidRPr="00A27113" w:rsidRDefault="00A95F3E" w:rsidP="00FD151F">
      <w:r w:rsidRPr="00A27113">
        <w:t xml:space="preserve">Les installations du Client sont desservies par un dispositif unique de raccordement au RPD aboutissant à un seul Point de Livraison. </w:t>
      </w:r>
    </w:p>
    <w:p w14:paraId="3DE4DFD4" w14:textId="77777777" w:rsidR="00A95F3E" w:rsidRPr="00A27113" w:rsidRDefault="00A95F3E" w:rsidP="007E3DA6">
      <w:r w:rsidRPr="00A27113">
        <w:t xml:space="preserve">Les ouvrages de raccordement situés en amont de la limite de propriété du Site, ainsi que les ouvrages de raccordement situés en domaine privé, font partie du domaine concédé de distribution publique. En aval de la limite de concession, les installations électriques à l’exception des appareils de mesure et de contrôle éventuellement fournis par </w:t>
      </w:r>
      <w:r>
        <w:t>le GRD</w:t>
      </w:r>
      <w:r w:rsidRPr="00A27113">
        <w:t xml:space="preserve"> conformément à l'article </w:t>
      </w:r>
      <w:r>
        <w:t>3.1.2</w:t>
      </w:r>
      <w:r w:rsidRPr="00A27113">
        <w:t xml:space="preserve"> des présentes dispositions générales, sont sous la responsabilité du Client.</w:t>
      </w:r>
    </w:p>
    <w:p w14:paraId="106BAA23" w14:textId="77777777" w:rsidR="00A95F3E" w:rsidRPr="00A27113" w:rsidRDefault="00A95F3E" w:rsidP="007E3DA6">
      <w:r w:rsidRPr="00A27113">
        <w:rPr>
          <w:szCs w:val="24"/>
        </w:rPr>
        <w:t>Sauf stipulation contraire</w:t>
      </w:r>
      <w:r w:rsidRPr="00A27113">
        <w:t xml:space="preserve"> figurant au Contrat Unique</w:t>
      </w:r>
      <w:r w:rsidRPr="00A27113">
        <w:rPr>
          <w:noProof/>
        </w:rPr>
        <w:t xml:space="preserve">, le Point de Livraison est fixé aux bornes de sortie du disjoncteur de branchement. Le </w:t>
      </w:r>
      <w:r w:rsidRPr="00A27113">
        <w:t>Point de Livraison est défini au Contrat Unique concerné.</w:t>
      </w:r>
    </w:p>
    <w:p w14:paraId="0D6AC1E8" w14:textId="77777777" w:rsidR="00A95F3E" w:rsidRPr="00A27113" w:rsidRDefault="00A95F3E" w:rsidP="007E3DA6">
      <w:r w:rsidRPr="00A27113">
        <w:t>La puissance maximale triphasée équilibrée que le Client peut appeler, dans le cadre de son Contrat Unique est limitée à 36 kVA par Point de Livraison.</w:t>
      </w:r>
    </w:p>
    <w:p w14:paraId="539D95CE" w14:textId="77777777" w:rsidR="00A95F3E" w:rsidRPr="00A27113" w:rsidRDefault="00A95F3E" w:rsidP="007E3DA6">
      <w:pPr>
        <w:rPr>
          <w:rFonts w:cs="Arial"/>
        </w:rPr>
      </w:pPr>
      <w:r w:rsidRPr="00A27113">
        <w:rPr>
          <w:rFonts w:cs="Arial"/>
        </w:rPr>
        <w:t xml:space="preserve">Pour </w:t>
      </w:r>
      <w:r>
        <w:rPr>
          <w:rFonts w:cs="Arial"/>
        </w:rPr>
        <w:t xml:space="preserve">les </w:t>
      </w:r>
      <w:r w:rsidRPr="00A27113">
        <w:rPr>
          <w:rFonts w:cs="Arial"/>
        </w:rPr>
        <w:t xml:space="preserve">sites raccordés </w:t>
      </w:r>
      <w:r w:rsidRPr="00A27113">
        <w:t>à partir du 1er janvier 2009,</w:t>
      </w:r>
      <w:r w:rsidRPr="00A27113">
        <w:rPr>
          <w:rFonts w:cs="Arial"/>
        </w:rPr>
        <w:t xml:space="preserve"> le Point de Livraison est normalement raccordé en monophasé </w:t>
      </w:r>
      <w:r>
        <w:rPr>
          <w:rFonts w:cs="Arial"/>
        </w:rPr>
        <w:t xml:space="preserve"> </w:t>
      </w:r>
      <w:r w:rsidRPr="004D2399">
        <w:rPr>
          <w:rFonts w:cs="Arial"/>
          <w:noProof/>
        </w:rPr>
        <w:t>jusqu'à 12 kVA inclus et en triphasé pour une Puissance Souscrite strictement supérieure à 12 kVA</w:t>
      </w:r>
      <w:r w:rsidRPr="00A27113">
        <w:rPr>
          <w:rFonts w:cs="Arial"/>
        </w:rPr>
        <w:t xml:space="preserve">, conformément aux dispositions du barème de facturation de l’opération de raccordement en vigueur disponible sur le </w:t>
      </w:r>
      <w:r>
        <w:rPr>
          <w:rFonts w:cs="Arial"/>
        </w:rPr>
        <w:t>Site</w:t>
      </w:r>
      <w:r w:rsidRPr="00A27113">
        <w:rPr>
          <w:rFonts w:cs="Arial"/>
        </w:rPr>
        <w:t xml:space="preserve"> Internet </w:t>
      </w:r>
      <w:r>
        <w:rPr>
          <w:rFonts w:cs="Arial"/>
        </w:rPr>
        <w:t>du GRD</w:t>
      </w:r>
      <w:r w:rsidRPr="00A27113">
        <w:rPr>
          <w:rFonts w:cs="Arial"/>
        </w:rPr>
        <w:t xml:space="preserve">. Le type de raccordement monophasé ou triphasé et la Puissance de Raccordement sont indiqués au Contrat Unique concerné. </w:t>
      </w:r>
    </w:p>
    <w:p w14:paraId="5F88E656" w14:textId="77777777" w:rsidR="00A95F3E" w:rsidRPr="00A27113" w:rsidRDefault="00A95F3E" w:rsidP="007E3DA6">
      <w:r w:rsidRPr="00A27113">
        <w:t>Les caractéristiques des Ouvrages de raccordement du Site sont décrites dans le Contrat Unique concerné et dans la Convention de Raccordement quand elle existe.</w:t>
      </w:r>
    </w:p>
    <w:p w14:paraId="21F95DAA" w14:textId="77777777" w:rsidR="00A95F3E" w:rsidRPr="00A27113" w:rsidRDefault="00A95F3E" w:rsidP="007E3DA6">
      <w:pPr>
        <w:pStyle w:val="Titre2"/>
      </w:pPr>
      <w:bookmarkStart w:id="12" w:name="_Toc77686021"/>
      <w:r w:rsidRPr="00A27113">
        <w:t>Evolution des ouvrages de raccordement</w:t>
      </w:r>
      <w:bookmarkEnd w:id="12"/>
    </w:p>
    <w:p w14:paraId="768B163A" w14:textId="77777777" w:rsidR="00A95F3E" w:rsidRPr="00A27113" w:rsidRDefault="00A95F3E" w:rsidP="007E3DA6">
      <w:r w:rsidRPr="00A27113">
        <w:t xml:space="preserve">Toute demande d’augmentation de Puissance Souscrite doit respecter les conditions définies au chapitre </w:t>
      </w:r>
      <w:r>
        <w:t>4</w:t>
      </w:r>
      <w:r w:rsidRPr="00A27113">
        <w:t xml:space="preserve"> des présentes dispositions générales, faute de quoi ladite demande est considérée comme non recevable par </w:t>
      </w:r>
      <w:r>
        <w:t>le GRD</w:t>
      </w:r>
      <w:r w:rsidRPr="00A27113">
        <w:t>.</w:t>
      </w:r>
    </w:p>
    <w:p w14:paraId="50E0963F" w14:textId="77777777" w:rsidR="00A95F3E" w:rsidRPr="00A27113" w:rsidRDefault="00A95F3E" w:rsidP="007E3DA6">
      <w:r w:rsidRPr="00A27113">
        <w:t>Dans tous les cas, si des travaux sont nécessaires sur les installations du Client, ils sont réalisés par le Client et à ses frais.</w:t>
      </w:r>
    </w:p>
    <w:p w14:paraId="52F0CD5F" w14:textId="77777777" w:rsidR="00A95F3E" w:rsidRPr="00A27113" w:rsidRDefault="00A95F3E" w:rsidP="007E3DA6">
      <w:r w:rsidRPr="00A27113">
        <w:t xml:space="preserve">Si le Client raccordé en monophasé et bénéficiant d’une puissance inférieure ou égale à 12 kVA (18 kVA pour les sites raccordés avant le 1er janvier 2009) souhaite une desserte en triphasé, celle-ci est demandée par le Fournisseur </w:t>
      </w:r>
      <w:r>
        <w:t>au GRD</w:t>
      </w:r>
      <w:r w:rsidRPr="00A27113">
        <w:t xml:space="preserve">. </w:t>
      </w:r>
      <w:r>
        <w:t>Le GRD</w:t>
      </w:r>
      <w:r w:rsidRPr="00A27113">
        <w:t xml:space="preserve"> réalise une étude technique et un devis pour facturation au Client des travaux nécessaires. La modification de desserte ne peut être effective qu’après la réalisation desdits travaux.</w:t>
      </w:r>
    </w:p>
    <w:p w14:paraId="7B039138" w14:textId="77777777" w:rsidR="00A95F3E" w:rsidRPr="00A27113" w:rsidRDefault="00A95F3E" w:rsidP="007E3DA6">
      <w:r w:rsidRPr="00A27113">
        <w:t xml:space="preserve">Toute demande d'augmentation de puissance peut donner lieu à des travaux, auquel cas la nouvelle Puissance Souscrite ne peut être mise à disposition qu'après la réalisation desdits travaux. Le Client et </w:t>
      </w:r>
      <w:r>
        <w:t>le GRD</w:t>
      </w:r>
      <w:r w:rsidRPr="00A27113">
        <w:t xml:space="preserve"> prennent à leur charge le montant des travaux leur incombant, conformément à l'application des dispositions légales et réglementaires en vigueur au moment de la demande.</w:t>
      </w:r>
    </w:p>
    <w:p w14:paraId="52E71E22" w14:textId="77777777" w:rsidR="00A95F3E" w:rsidRPr="00A27113" w:rsidRDefault="00A95F3E" w:rsidP="007E3DA6">
      <w:r w:rsidRPr="00A27113">
        <w:t xml:space="preserve">Lorsqu’une demande d’augmentation de puissance d’un Point de Livraison conduit à franchir la puissance de 36 kVA, le Fournisseur est tenu d’informer le Client que des travaux sont nécessaires et de procéder aux adaptations contractuelles nécessaires vis-à-vis </w:t>
      </w:r>
      <w:r>
        <w:t>du GRD</w:t>
      </w:r>
      <w:r w:rsidRPr="00A27113">
        <w:t xml:space="preserve"> et vis-à-vis du Client. </w:t>
      </w:r>
    </w:p>
    <w:p w14:paraId="077BE3E2" w14:textId="77777777" w:rsidR="00A95F3E" w:rsidRPr="00A27113" w:rsidRDefault="00A95F3E" w:rsidP="007E3DA6">
      <w:pPr>
        <w:rPr>
          <w:rFonts w:cs="Arial"/>
        </w:rPr>
      </w:pPr>
      <w:r w:rsidRPr="00A27113">
        <w:rPr>
          <w:rFonts w:cs="Arial"/>
        </w:rPr>
        <w:t>La nouvelle Puissance Souscrite ou la modification de desserte de monophasé en triphasé ou de triphasé en monophasé, ne pourront être mises à disposition qu’après le délai de réalisation des travaux éventuellement nécessaires.</w:t>
      </w:r>
    </w:p>
    <w:p w14:paraId="36E20D4C" w14:textId="77777777" w:rsidR="00A95F3E" w:rsidRPr="00A27113" w:rsidRDefault="00A95F3E" w:rsidP="007E3DA6">
      <w:pPr>
        <w:rPr>
          <w:rFonts w:cs="Arial"/>
        </w:rPr>
      </w:pPr>
      <w:r w:rsidRPr="00A27113">
        <w:rPr>
          <w:rFonts w:cs="Arial"/>
        </w:rPr>
        <w:t>L’ensemble des caractéristiques du Point de Livraison est décrit dans le Contrat Unique concerné.</w:t>
      </w:r>
    </w:p>
    <w:p w14:paraId="1924FF4B" w14:textId="77777777" w:rsidR="00A95F3E" w:rsidRPr="00A27113" w:rsidRDefault="00A95F3E" w:rsidP="007E3DA6">
      <w:pPr>
        <w:pStyle w:val="Titre2"/>
      </w:pPr>
      <w:bookmarkStart w:id="13" w:name="_Toc77686022"/>
      <w:r w:rsidRPr="00A27113">
        <w:t>Installations du Client</w:t>
      </w:r>
      <w:bookmarkEnd w:id="13"/>
    </w:p>
    <w:p w14:paraId="3B629C30" w14:textId="77777777" w:rsidR="00A95F3E" w:rsidRPr="00A27113" w:rsidRDefault="00A95F3E" w:rsidP="007E3DA6">
      <w:pPr>
        <w:pStyle w:val="Titre3"/>
      </w:pPr>
      <w:bookmarkStart w:id="14" w:name="_Toc77686023"/>
      <w:r w:rsidRPr="00A27113">
        <w:t xml:space="preserve">Installations de </w:t>
      </w:r>
      <w:r>
        <w:t>P</w:t>
      </w:r>
      <w:r w:rsidRPr="00A27113">
        <w:t>roduction d’électricité présents chez le Client</w:t>
      </w:r>
      <w:bookmarkEnd w:id="14"/>
    </w:p>
    <w:p w14:paraId="510EC344" w14:textId="77777777" w:rsidR="00A95F3E" w:rsidRPr="00A27113" w:rsidRDefault="00A95F3E" w:rsidP="007E3DA6">
      <w:r w:rsidRPr="00A27113">
        <w:t>Le Client peut mettre en œuvre des Installations de Production d’électricité raccordées aux installations de son Site, qu’il exploite à ses frais et sous sa seule et entière responsabilité.</w:t>
      </w:r>
      <w:r w:rsidRPr="00A27113">
        <w:rPr>
          <w:noProof/>
        </w:rPr>
        <w:t xml:space="preserve"> Ces Installations de Production autonome</w:t>
      </w:r>
      <w:r>
        <w:rPr>
          <w:noProof/>
        </w:rPr>
        <w:t>s</w:t>
      </w:r>
      <w:r w:rsidRPr="00A27113">
        <w:rPr>
          <w:noProof/>
        </w:rPr>
        <w:t xml:space="preserve"> produisent une énergie qui est destinée à l'autoconsommation du Client. Conformément au cahier des charges de distribution publique,</w:t>
      </w:r>
      <w:r w:rsidRPr="00A27113">
        <w:t xml:space="preserve"> le Client a l'obligation d'informer </w:t>
      </w:r>
      <w:r>
        <w:t>le GRD</w:t>
      </w:r>
      <w:r w:rsidRPr="00A27113">
        <w:t xml:space="preserve"> au moins un mois avant leur mise en service, des Installations de Production d’électricité raccordées aux installations du Site, de leurs caractéristiques et de toute modification ultérieure de ceux-ci. A cette fin, le Client doit transmettre, par courrier ou courriel, le formulaire disponible sur le </w:t>
      </w:r>
      <w:r>
        <w:t>Site internet</w:t>
      </w:r>
      <w:r w:rsidRPr="00A27113">
        <w:t xml:space="preserve"> </w:t>
      </w:r>
      <w:r>
        <w:t>du GRD</w:t>
      </w:r>
      <w:r w:rsidRPr="00A27113">
        <w:t xml:space="preserve"> et le renvoyer aux interlocuteurs désignés </w:t>
      </w:r>
      <w:r>
        <w:t xml:space="preserve"> </w:t>
      </w:r>
      <w:r>
        <w:rPr>
          <w:noProof/>
        </w:rPr>
        <w:t>sur son site Internet</w:t>
      </w:r>
      <w:r>
        <w:t xml:space="preserve"> </w:t>
      </w:r>
      <w:r w:rsidRPr="00A27113">
        <w:t>. Le Client est tenu d’informer également son Fournisseur au moins un mois avant la mise en œuvre d’</w:t>
      </w:r>
      <w:r>
        <w:t xml:space="preserve">Installations </w:t>
      </w:r>
      <w:r w:rsidRPr="00A27113">
        <w:t>de Production raccordées aux installations du Site.</w:t>
      </w:r>
    </w:p>
    <w:p w14:paraId="3E65DBC6" w14:textId="77777777" w:rsidR="00A95F3E" w:rsidRPr="00A27113" w:rsidRDefault="00A95F3E" w:rsidP="00FD151F">
      <w:r w:rsidRPr="00A27113">
        <w:rPr>
          <w:noProof/>
        </w:rPr>
        <w:t xml:space="preserve">Pour le cas où le Client entendrait céder tout ou partie de l’énergie électrique produite par les installations de son Site, il lui appartiendrait de se rapprocher </w:t>
      </w:r>
      <w:r>
        <w:rPr>
          <w:noProof/>
        </w:rPr>
        <w:t>du GRD</w:t>
      </w:r>
      <w:r w:rsidRPr="00A27113">
        <w:rPr>
          <w:noProof/>
        </w:rPr>
        <w:t xml:space="preserve">, conformément aux informations figurant sur son </w:t>
      </w:r>
      <w:r>
        <w:rPr>
          <w:noProof/>
        </w:rPr>
        <w:t>Site internet</w:t>
      </w:r>
      <w:r w:rsidRPr="00A27113">
        <w:rPr>
          <w:noProof/>
        </w:rPr>
        <w:t>, pour définir avec elle les modalités de souscription d’un contrat spécifique relatif à l’injection de ladite énergie sur le RPD.</w:t>
      </w:r>
    </w:p>
    <w:p w14:paraId="64AD0D20" w14:textId="77777777" w:rsidR="00A95F3E" w:rsidRPr="00A27113" w:rsidRDefault="00A95F3E" w:rsidP="007E3DA6">
      <w:r w:rsidRPr="00A27113">
        <w:t xml:space="preserve">L’accord écrit </w:t>
      </w:r>
      <w:r>
        <w:t>du GRD</w:t>
      </w:r>
      <w:r w:rsidRPr="00A27113">
        <w:t xml:space="preserve"> est nécessaire avant la mise en service de ces moyens de production. Cet accord </w:t>
      </w:r>
      <w:r>
        <w:t>du GRD</w:t>
      </w:r>
      <w:r w:rsidRPr="00A27113">
        <w:t xml:space="preserve"> porte notamment sur la spécification des matériels utilisés, en particulier les dispositifs de protection de découplage, qui doivent être conformes aux dispositions législatives et réglementaires en vigueur ainsi qu’à la documentation technique de référence </w:t>
      </w:r>
      <w:r>
        <w:t>du GRD</w:t>
      </w:r>
      <w:r w:rsidRPr="00A27113">
        <w:t xml:space="preserve"> en vigueur. </w:t>
      </w:r>
    </w:p>
    <w:p w14:paraId="5DDD686E" w14:textId="77777777" w:rsidR="00A95F3E" w:rsidRPr="00A27113" w:rsidRDefault="00A95F3E" w:rsidP="007E3DA6">
      <w:pPr>
        <w:rPr>
          <w:strike/>
        </w:rPr>
      </w:pPr>
      <w:r w:rsidRPr="00A27113">
        <w:t xml:space="preserve">Dans certains cas, le remplacement ou la modification du Dispositif de comptage peut également s’avérer nécessaire, avant la mise en œuvre par le Client d’Installations de Production. Ce remplacement est effectué à l’initiative </w:t>
      </w:r>
      <w:r>
        <w:t>du GRD</w:t>
      </w:r>
      <w:r w:rsidRPr="00A27113">
        <w:t xml:space="preserve"> à ses frais. </w:t>
      </w:r>
      <w:r w:rsidRPr="00A27113">
        <w:rPr>
          <w:strike/>
        </w:rPr>
        <w:t xml:space="preserve"> </w:t>
      </w:r>
    </w:p>
    <w:p w14:paraId="11FC1BB5" w14:textId="77777777" w:rsidR="00A95F3E" w:rsidRPr="00A27113" w:rsidRDefault="00A95F3E" w:rsidP="00475D90">
      <w:r w:rsidRPr="00A27113">
        <w:t xml:space="preserve">Le Client s’engage à maintenir les dispositifs de Protection de Découplage pendant toute la durée du Contrat Unique, et à justifier de leur bon fonctionnement à toute demande </w:t>
      </w:r>
      <w:r>
        <w:t>du GRD</w:t>
      </w:r>
      <w:r w:rsidRPr="00A27113">
        <w:t>.</w:t>
      </w:r>
    </w:p>
    <w:p w14:paraId="0FBF96C5" w14:textId="77777777" w:rsidR="00A95F3E" w:rsidRDefault="00A95F3E" w:rsidP="007E3DA6">
      <w:r w:rsidRPr="00A27113">
        <w:t xml:space="preserve">L’existence d’Installations de Production est mentionnée dans le Contrat Unique concerné. Par ailleurs, une Convention d’Exploitation précisant notamment les modalités techniques d’exploitation des </w:t>
      </w:r>
      <w:r>
        <w:t>Installations</w:t>
      </w:r>
      <w:r w:rsidRPr="00A27113">
        <w:t xml:space="preserve"> de Production, pour assurer, en particulier, la sécurité du RPD et des tiers est signée entre le chef de l'établissement et </w:t>
      </w:r>
      <w:r>
        <w:t>le GRD</w:t>
      </w:r>
      <w:r w:rsidRPr="00A27113">
        <w:t xml:space="preserve"> avant la mise en service de toute Installation de Production autonome.</w:t>
      </w:r>
    </w:p>
    <w:p w14:paraId="4407B6E4" w14:textId="77777777" w:rsidR="00A95F3E" w:rsidRPr="00A27113" w:rsidRDefault="00A95F3E" w:rsidP="007E3DA6">
      <w:r w:rsidRPr="00810F91">
        <w:t>Une borne de sectionnement de la production - appelée CCPI (Coupe-Circuit Principal Individuel) - doit être accessible depuis le domaine public, conformément à la norme NF C 14-100, pour permettre au Distributeur d’interrompre l’injection et la con</w:t>
      </w:r>
      <w:r>
        <w:t xml:space="preserve">sommation du Client sur le RPD </w:t>
      </w:r>
      <w:r w:rsidRPr="00810F91">
        <w:t>en cas d’urgence</w:t>
      </w:r>
      <w:r>
        <w:t>.</w:t>
      </w:r>
    </w:p>
    <w:p w14:paraId="770032EC" w14:textId="77777777" w:rsidR="00A95F3E" w:rsidRPr="00A27113" w:rsidRDefault="00A95F3E" w:rsidP="007E3DA6">
      <w:pPr>
        <w:pStyle w:val="Titre3"/>
      </w:pPr>
      <w:bookmarkStart w:id="15" w:name="_Toc77686024"/>
      <w:r w:rsidRPr="00A27113">
        <w:t>Droit d'accès et de contrôle</w:t>
      </w:r>
      <w:bookmarkEnd w:id="15"/>
      <w:r w:rsidRPr="00A27113">
        <w:t xml:space="preserve"> </w:t>
      </w:r>
    </w:p>
    <w:p w14:paraId="5DAE8FBA" w14:textId="77777777" w:rsidR="00A95F3E" w:rsidRPr="00A27113" w:rsidRDefault="00A95F3E" w:rsidP="007E3DA6">
      <w:r w:rsidRPr="00A27113">
        <w:t xml:space="preserve">Pour vérifier le respect des engagements en matière de qualité pris par le Client conformément à l’article </w:t>
      </w:r>
      <w:r>
        <w:t>5.2</w:t>
      </w:r>
      <w:r w:rsidRPr="00A27113">
        <w:t xml:space="preserve"> des présentes dispositions générales, </w:t>
      </w:r>
      <w:r>
        <w:t>le GRD</w:t>
      </w:r>
      <w:r w:rsidRPr="00A27113">
        <w:t xml:space="preserve"> est autorisé à accéder aux installations électriques du Client à tout moment, sous réserve du respect des règles d'accès et de sécurité en vigueur sur le Site, cette vérification étant opérée dans le seul intérêt de la sécurité et de la sûreté du RPD. </w:t>
      </w:r>
      <w:r>
        <w:t>Le GRD</w:t>
      </w:r>
      <w:r w:rsidRPr="00A27113">
        <w:t xml:space="preserve"> informe le Client, avec copie au Fournisseur, par tout moyen dans un délai raisonnable de la date et de l'heure de son intervention, sauf si la gravité de la situation nécessite une opération immédiate ; </w:t>
      </w:r>
      <w:r>
        <w:t>le GRD</w:t>
      </w:r>
      <w:r w:rsidRPr="00A27113">
        <w:t xml:space="preserve"> informe alors le Client, avec copie au Fournisseur, dans les meilleurs délais par tout moyen.</w:t>
      </w:r>
    </w:p>
    <w:p w14:paraId="0CCCC67D" w14:textId="77777777" w:rsidR="00A95F3E" w:rsidRPr="00A27113" w:rsidRDefault="00A95F3E" w:rsidP="007E3DA6">
      <w:r w:rsidRPr="00A27113">
        <w:t xml:space="preserve">Le Client s'engage à prendre toutes les mesures nécessaires afin de permettre </w:t>
      </w:r>
      <w:r>
        <w:t>au GRD</w:t>
      </w:r>
      <w:r w:rsidRPr="00A27113">
        <w:t xml:space="preserve"> de réaliser son intervention sans difficulté et en toute sécurité. </w:t>
      </w:r>
    </w:p>
    <w:p w14:paraId="26E75CD0" w14:textId="77777777" w:rsidR="00A95F3E" w:rsidRPr="00A27113" w:rsidRDefault="00A95F3E" w:rsidP="007E3DA6">
      <w:r w:rsidRPr="00A27113">
        <w:t xml:space="preserve">La vérification opérée par </w:t>
      </w:r>
      <w:r>
        <w:t>le GRD</w:t>
      </w:r>
      <w:r w:rsidRPr="00A27113">
        <w:t xml:space="preserve"> dans les installations du Client ne fait encourir aucune responsabilité </w:t>
      </w:r>
      <w:r>
        <w:t>au GRD</w:t>
      </w:r>
      <w:r w:rsidRPr="00A27113">
        <w:t xml:space="preserve"> en cas de défectuosité de celles-ci.</w:t>
      </w:r>
    </w:p>
    <w:p w14:paraId="14E06245" w14:textId="77777777" w:rsidR="00A95F3E" w:rsidRPr="00A27113" w:rsidRDefault="00A95F3E" w:rsidP="007E3DA6">
      <w:pPr>
        <w:pStyle w:val="Titre3"/>
      </w:pPr>
      <w:bookmarkStart w:id="16" w:name="_Toc77686025"/>
      <w:r w:rsidRPr="00A27113">
        <w:t>Responsabilité</w:t>
      </w:r>
      <w:bookmarkEnd w:id="16"/>
    </w:p>
    <w:p w14:paraId="7F26A836" w14:textId="77777777" w:rsidR="00A95F3E" w:rsidRPr="00A27113" w:rsidRDefault="00A95F3E" w:rsidP="007E3DA6">
      <w:r w:rsidRPr="00A27113">
        <w:t xml:space="preserve">Le Client et </w:t>
      </w:r>
      <w:r>
        <w:t>le GRD</w:t>
      </w:r>
      <w:r w:rsidRPr="00A27113">
        <w:t xml:space="preserve"> sont respectivement responsables de tous les actes exécutés par leur personnel de part et d’autre de la limite de propriété des ouvrages de raccordement. Il est spécifié que le Client s’interdit toute manœuvre ou toute intervention sur les ouvrages de raccordement, sauf convention expresse contraire.</w:t>
      </w:r>
    </w:p>
    <w:p w14:paraId="091013D6" w14:textId="77777777" w:rsidR="00A95F3E" w:rsidRPr="00A27113" w:rsidRDefault="00A95F3E" w:rsidP="00D1273F">
      <w:pPr>
        <w:pStyle w:val="Titre2"/>
      </w:pPr>
      <w:bookmarkStart w:id="17" w:name="_Toc77686026"/>
      <w:r w:rsidRPr="00A27113">
        <w:t>Mise en service</w:t>
      </w:r>
      <w:bookmarkEnd w:id="17"/>
      <w:r w:rsidRPr="00A27113">
        <w:t xml:space="preserve"> </w:t>
      </w:r>
    </w:p>
    <w:p w14:paraId="48D5A1BA" w14:textId="77777777" w:rsidR="00A95F3E" w:rsidRPr="00A27113" w:rsidRDefault="00A95F3E" w:rsidP="007E3DA6">
      <w:pPr>
        <w:pStyle w:val="Titre3"/>
      </w:pPr>
      <w:bookmarkStart w:id="18" w:name="_Toc77686027"/>
      <w:r w:rsidRPr="00A27113">
        <w:t xml:space="preserve">Mise en service </w:t>
      </w:r>
      <w:r>
        <w:t>à</w:t>
      </w:r>
      <w:r w:rsidRPr="00A27113">
        <w:t xml:space="preserve"> la suite d’un raccordement nouveau</w:t>
      </w:r>
      <w:bookmarkEnd w:id="18"/>
      <w:r w:rsidRPr="00A27113">
        <w:t xml:space="preserve"> </w:t>
      </w:r>
    </w:p>
    <w:p w14:paraId="46AA441F" w14:textId="77777777" w:rsidR="00A95F3E" w:rsidRPr="00A27113" w:rsidRDefault="00A95F3E" w:rsidP="007E3DA6">
      <w:r w:rsidRPr="00A27113">
        <w:t xml:space="preserve">Le Fournisseur formule une demande de mise en service du Point de Livraison pour le compte du Client, </w:t>
      </w:r>
      <w:r w:rsidRPr="00A27113">
        <w:rPr>
          <w:iCs/>
        </w:rPr>
        <w:t>via</w:t>
      </w:r>
      <w:r w:rsidRPr="00A27113">
        <w:t xml:space="preserve"> la Plate-forme d'échanges </w:t>
      </w:r>
      <w:r>
        <w:t>du GRD</w:t>
      </w:r>
      <w:r w:rsidRPr="00A27113">
        <w:t>,</w:t>
      </w:r>
      <w:r w:rsidRPr="00A27113">
        <w:rPr>
          <w:bCs/>
        </w:rPr>
        <w:t xml:space="preserve"> selon les modalités définies dans les </w:t>
      </w:r>
      <w:r>
        <w:rPr>
          <w:bCs/>
        </w:rPr>
        <w:t>R</w:t>
      </w:r>
      <w:r w:rsidRPr="00A27113">
        <w:rPr>
          <w:bCs/>
        </w:rPr>
        <w:t xml:space="preserve">éférentiels </w:t>
      </w:r>
      <w:r>
        <w:rPr>
          <w:bCs/>
        </w:rPr>
        <w:t>du GRD</w:t>
      </w:r>
      <w:r w:rsidRPr="00A27113">
        <w:rPr>
          <w:bCs/>
        </w:rPr>
        <w:t>.</w:t>
      </w:r>
      <w:r w:rsidRPr="00A27113">
        <w:t xml:space="preserve"> </w:t>
      </w:r>
    </w:p>
    <w:p w14:paraId="0D043427" w14:textId="77777777" w:rsidR="00A95F3E" w:rsidRPr="00A27113" w:rsidRDefault="00A95F3E" w:rsidP="007E3DA6">
      <w:pPr>
        <w:rPr>
          <w:rFonts w:ascii="Calibri" w:hAnsi="Calibri"/>
        </w:rPr>
      </w:pPr>
      <w:r w:rsidRPr="00A27113">
        <w:rPr>
          <w:rFonts w:ascii="Calibri" w:hAnsi="Calibri"/>
        </w:rPr>
        <w:t>A titre d’information,</w:t>
      </w:r>
      <w:r w:rsidRPr="00A27113">
        <w:t xml:space="preserve"> </w:t>
      </w:r>
      <w:r>
        <w:rPr>
          <w:rFonts w:ascii="Calibri" w:hAnsi="Calibri"/>
        </w:rPr>
        <w:t>le GRD</w:t>
      </w:r>
      <w:r w:rsidRPr="00A27113">
        <w:rPr>
          <w:rFonts w:ascii="Calibri" w:hAnsi="Calibri"/>
        </w:rPr>
        <w:t xml:space="preserve"> ne peut procéder à la mise en service définitive du Point de Livraison que si les conditions cumulatives suivantes sont satisfaites :</w:t>
      </w:r>
    </w:p>
    <w:p w14:paraId="75517C4E" w14:textId="77777777" w:rsidR="00A95F3E" w:rsidRPr="00A27113" w:rsidRDefault="00A95F3E" w:rsidP="007E3DA6">
      <w:pPr>
        <w:pStyle w:val="SPuce"/>
      </w:pPr>
      <w:r w:rsidRPr="00A27113">
        <w:t xml:space="preserve">acceptation par le Client ou le pétitionnaire du devis des travaux de raccordement établi par </w:t>
      </w:r>
      <w:r>
        <w:t>le GRD</w:t>
      </w:r>
      <w:r w:rsidRPr="00A27113">
        <w:t xml:space="preserve"> pour les éventuels travaux de raccordement et réalisation desdits travaux ;</w:t>
      </w:r>
    </w:p>
    <w:p w14:paraId="521AA8C2" w14:textId="77777777" w:rsidR="00A95F3E" w:rsidRPr="00A27113" w:rsidRDefault="00A95F3E" w:rsidP="007E3DA6">
      <w:pPr>
        <w:pStyle w:val="SPuce"/>
      </w:pPr>
      <w:r w:rsidRPr="00A27113">
        <w:t>réalisation des travaux de raccordement au RPD ;</w:t>
      </w:r>
    </w:p>
    <w:p w14:paraId="63C8EE05" w14:textId="77777777" w:rsidR="00A95F3E" w:rsidRPr="00A27113" w:rsidRDefault="00A95F3E" w:rsidP="007E3DA6">
      <w:pPr>
        <w:pStyle w:val="SPuce"/>
      </w:pPr>
      <w:r w:rsidRPr="00A27113">
        <w:t>réalisation des travaux éventuellement nécessaires incombant au Client ou au pétitionnaire ;</w:t>
      </w:r>
    </w:p>
    <w:p w14:paraId="2E6023F6" w14:textId="77777777" w:rsidR="00A95F3E" w:rsidRPr="00A27113" w:rsidRDefault="00A95F3E" w:rsidP="007E3DA6">
      <w:pPr>
        <w:pStyle w:val="SPuce"/>
      </w:pPr>
      <w:r w:rsidRPr="00A27113">
        <w:t xml:space="preserve">paiement complet </w:t>
      </w:r>
      <w:r>
        <w:t>au GRD</w:t>
      </w:r>
      <w:r w:rsidRPr="00A27113">
        <w:t xml:space="preserve"> des sommes dues par le Client ou le pétitionnaire ;</w:t>
      </w:r>
    </w:p>
    <w:p w14:paraId="39506EA8" w14:textId="77777777" w:rsidR="00A95F3E" w:rsidRPr="00A27113" w:rsidRDefault="00A95F3E" w:rsidP="007E3DA6">
      <w:pPr>
        <w:pStyle w:val="SPuce"/>
      </w:pPr>
      <w:r w:rsidRPr="00A27113">
        <w:t xml:space="preserve">fourniture </w:t>
      </w:r>
      <w:r>
        <w:t>au GRD</w:t>
      </w:r>
      <w:r w:rsidRPr="00A27113">
        <w:t>, par le Client, d'une attestation de conformité des installations électriques intérieures du Client aux règlements et normes de sécurité en vigueur, ceci dès lors que ces installations sont soumises aux dispositions des articles D342-18 à 21 du code de l’énergie ;</w:t>
      </w:r>
    </w:p>
    <w:p w14:paraId="5DB1F826" w14:textId="77777777" w:rsidR="00A95F3E" w:rsidRPr="00A27113" w:rsidRDefault="00A95F3E" w:rsidP="007E3DA6">
      <w:pPr>
        <w:pStyle w:val="SPuce"/>
      </w:pPr>
      <w:r w:rsidRPr="00A27113">
        <w:t xml:space="preserve">installations du Client établies en conformité aux règlements et normes en vigueur, notamment la norme NF C 15-100, en application de l'article </w:t>
      </w:r>
      <w:r>
        <w:t>8.2</w:t>
      </w:r>
      <w:r w:rsidRPr="00A27113">
        <w:t>, et comprenant tous les aménagements imposés par les règles de l’art.</w:t>
      </w:r>
    </w:p>
    <w:p w14:paraId="0F89B0D6" w14:textId="77777777" w:rsidR="00A95F3E" w:rsidRPr="00A27113" w:rsidRDefault="00A95F3E" w:rsidP="007E3DA6">
      <w:r w:rsidRPr="00A27113">
        <w:t xml:space="preserve">La mise en service est réalisée selon les modalités définies dans les </w:t>
      </w:r>
      <w:r>
        <w:t>R</w:t>
      </w:r>
      <w:r w:rsidRPr="00A27113">
        <w:t xml:space="preserve">éférentiels </w:t>
      </w:r>
      <w:r>
        <w:t>du GRD</w:t>
      </w:r>
      <w:r w:rsidRPr="00A27113">
        <w:t xml:space="preserve"> et dans son Catalogue des prestations.</w:t>
      </w:r>
    </w:p>
    <w:p w14:paraId="3051ABDA" w14:textId="77777777" w:rsidR="00A95F3E" w:rsidRPr="00A27113" w:rsidRDefault="00A95F3E" w:rsidP="007E3DA6">
      <w:r w:rsidRPr="00A27113">
        <w:t>La date de mise en service ne peut être antérieure à la date d'effet du Contrat Unique.</w:t>
      </w:r>
    </w:p>
    <w:p w14:paraId="483AA72E" w14:textId="77777777" w:rsidR="00A95F3E" w:rsidRPr="00A27113" w:rsidRDefault="00A95F3E" w:rsidP="007E3DA6">
      <w:pPr>
        <w:pStyle w:val="Titre3"/>
      </w:pPr>
      <w:bookmarkStart w:id="19" w:name="_Toc77686028"/>
      <w:r w:rsidRPr="00A27113">
        <w:t>Mise en service sur raccordement existant</w:t>
      </w:r>
      <w:bookmarkEnd w:id="19"/>
    </w:p>
    <w:p w14:paraId="0D2C7983" w14:textId="77777777" w:rsidR="00A95F3E" w:rsidRPr="00A27113" w:rsidRDefault="00A95F3E" w:rsidP="007E3DA6">
      <w:r w:rsidRPr="00A27113">
        <w:t>Lorsqu'un Client emménage dans un local déjà raccordé, l'alimentation électrique peut avoir été suspendue ou non. Dans le cas où elle a été maintenue, y compris avec une puissance limitée, le Client doit, dans les plus brefs délais, choisir un Fournisseur qui se chargera pour lui des formalités de mise en service.</w:t>
      </w:r>
    </w:p>
    <w:p w14:paraId="7E3E5C58" w14:textId="77777777" w:rsidR="00A95F3E" w:rsidRPr="009E067E" w:rsidRDefault="00A95F3E" w:rsidP="00700CF7">
      <w:pPr>
        <w:rPr>
          <w:bCs/>
        </w:rPr>
      </w:pPr>
      <w:r w:rsidRPr="00A27113">
        <w:t xml:space="preserve">Le Fournisseur formule une demande de mise en service du Point de Livraison pour le compte du Client </w:t>
      </w:r>
      <w:r w:rsidRPr="00A27113">
        <w:rPr>
          <w:iCs/>
        </w:rPr>
        <w:t>via</w:t>
      </w:r>
      <w:r w:rsidRPr="00A27113">
        <w:t xml:space="preserve"> la Plate-forme d'échanges </w:t>
      </w:r>
      <w:r>
        <w:t>du GRD</w:t>
      </w:r>
      <w:r w:rsidRPr="00A27113">
        <w:t>,</w:t>
      </w:r>
      <w:r w:rsidRPr="00A27113">
        <w:rPr>
          <w:bCs/>
        </w:rPr>
        <w:t xml:space="preserve"> selon les modalités définies dans les </w:t>
      </w:r>
      <w:r>
        <w:rPr>
          <w:bCs/>
        </w:rPr>
        <w:t>R</w:t>
      </w:r>
      <w:r w:rsidRPr="00A27113">
        <w:rPr>
          <w:bCs/>
        </w:rPr>
        <w:t xml:space="preserve">éférentiels </w:t>
      </w:r>
      <w:r>
        <w:rPr>
          <w:bCs/>
        </w:rPr>
        <w:t>du GRD</w:t>
      </w:r>
      <w:r w:rsidRPr="00A27113">
        <w:t>.</w:t>
      </w:r>
    </w:p>
    <w:p w14:paraId="3969A04B" w14:textId="77777777" w:rsidR="00A95F3E" w:rsidRPr="00A27113" w:rsidRDefault="00A95F3E" w:rsidP="007E3DA6">
      <w:r w:rsidRPr="00A27113">
        <w:t xml:space="preserve">A titre d’information, </w:t>
      </w:r>
      <w:r>
        <w:t>le GRD</w:t>
      </w:r>
      <w:r w:rsidRPr="00A27113">
        <w:t xml:space="preserve"> ne peut procéder à la mise en service du Point de Livraison que si les conditions cumulatives suivantes sont satisfaites :</w:t>
      </w:r>
    </w:p>
    <w:p w14:paraId="24372EB2" w14:textId="77777777" w:rsidR="00A95F3E" w:rsidRPr="00A27113" w:rsidRDefault="00A95F3E" w:rsidP="007E3DA6">
      <w:pPr>
        <w:pStyle w:val="SPuce"/>
      </w:pPr>
      <w:r w:rsidRPr="00A27113">
        <w:t>réalisation des travaux éventuellement nécessaires incombant au Client ou au pétitionnaire ;</w:t>
      </w:r>
    </w:p>
    <w:p w14:paraId="74072725" w14:textId="77777777" w:rsidR="00A95F3E" w:rsidRPr="00A27113" w:rsidRDefault="00A95F3E" w:rsidP="007E3DA6">
      <w:pPr>
        <w:pStyle w:val="SPuce"/>
      </w:pPr>
      <w:r w:rsidRPr="00A27113">
        <w:t xml:space="preserve">fourniture </w:t>
      </w:r>
      <w:r>
        <w:t>au GRD</w:t>
      </w:r>
      <w:r w:rsidRPr="00A27113">
        <w:t>, par le Client, d'une attestation de conformité des installations électriques intérieures du Client aux règlements et normes de sécurité en vigueur, ceci dès lors que ces installations sont soumises aux dispositions des articles D342-18 à 21 du code de l’énergie (rénovation complète des installations, ayant nécessité une mise hors tension à la demande du Client) ;</w:t>
      </w:r>
    </w:p>
    <w:p w14:paraId="5175B764" w14:textId="77777777" w:rsidR="00A95F3E" w:rsidRPr="00A27113" w:rsidRDefault="00A95F3E" w:rsidP="007E3DA6">
      <w:pPr>
        <w:pStyle w:val="SPuce"/>
        <w:rPr>
          <w:rFonts w:ascii="Calibri" w:hAnsi="Calibri" w:cs="Arial"/>
        </w:rPr>
      </w:pPr>
      <w:r w:rsidRPr="00A27113">
        <w:rPr>
          <w:rFonts w:ascii="Calibri" w:hAnsi="Calibri" w:cs="Arial"/>
        </w:rPr>
        <w:t>installations du Client établies en conformité aux règlements et normes en vigueur</w:t>
      </w:r>
      <w:r w:rsidRPr="00A27113">
        <w:rPr>
          <w:rFonts w:cs="Arial"/>
        </w:rPr>
        <w:t xml:space="preserve"> </w:t>
      </w:r>
      <w:r w:rsidRPr="00A27113">
        <w:rPr>
          <w:rFonts w:ascii="Calibri" w:hAnsi="Calibri" w:cs="Arial"/>
        </w:rPr>
        <w:t xml:space="preserve">notamment la norme NF C 15-100, en application de l'article </w:t>
      </w:r>
      <w:r w:rsidRPr="001F16F0">
        <w:rPr>
          <w:rFonts w:ascii="Calibri" w:hAnsi="Calibri" w:cs="Arial"/>
        </w:rPr>
        <w:t>8.2</w:t>
      </w:r>
      <w:r w:rsidRPr="00A27113">
        <w:rPr>
          <w:rFonts w:ascii="Calibri" w:hAnsi="Calibri" w:cs="Arial"/>
        </w:rPr>
        <w:t>, et comprenant tous les aménagements imposés par les règles de l’art.</w:t>
      </w:r>
    </w:p>
    <w:p w14:paraId="2C096865" w14:textId="77777777" w:rsidR="00A95F3E" w:rsidRPr="00A27113" w:rsidRDefault="00A95F3E" w:rsidP="00700CF7">
      <w:r w:rsidRPr="00A27113">
        <w:t xml:space="preserve">La mise en service est réalisée selon les modalités définies dans les </w:t>
      </w:r>
      <w:r>
        <w:t>Référentiel</w:t>
      </w:r>
      <w:r w:rsidRPr="00A27113">
        <w:t xml:space="preserve">s </w:t>
      </w:r>
      <w:r>
        <w:t>du GRD</w:t>
      </w:r>
      <w:r w:rsidRPr="00A27113">
        <w:t xml:space="preserve"> et dans son Catalogue des prestations.</w:t>
      </w:r>
    </w:p>
    <w:p w14:paraId="7FF6C833" w14:textId="77777777" w:rsidR="00A95F3E" w:rsidRDefault="00A95F3E" w:rsidP="007E3DA6">
      <w:r w:rsidRPr="00A27113">
        <w:t>La date de mise en service ne peut être antérieure à la date d'effet du Contrat Unique.</w:t>
      </w:r>
    </w:p>
    <w:p w14:paraId="396B40BE" w14:textId="77777777" w:rsidR="00A95F3E" w:rsidRPr="00FA158B" w:rsidRDefault="00A95F3E" w:rsidP="00156AAD">
      <w:pPr>
        <w:pStyle w:val="Titre2"/>
      </w:pPr>
      <w:bookmarkStart w:id="20" w:name="_Toc77686029"/>
      <w:r w:rsidRPr="00FA158B">
        <w:t>Suppression du raccordement du Site au Réseau Public de Distribution</w:t>
      </w:r>
      <w:bookmarkEnd w:id="20"/>
    </w:p>
    <w:p w14:paraId="629F885F" w14:textId="77777777" w:rsidR="00A95F3E" w:rsidRPr="00A27113" w:rsidRDefault="00A95F3E" w:rsidP="007E3DA6">
      <w:r w:rsidRPr="00FA158B">
        <w:t xml:space="preserve">La suppression de raccordement est réalisée selon les modalités définies dans les </w:t>
      </w:r>
      <w:r>
        <w:t>Référentiel</w:t>
      </w:r>
      <w:r w:rsidRPr="00FA158B">
        <w:t xml:space="preserve">s </w:t>
      </w:r>
      <w:r>
        <w:t>du GRD</w:t>
      </w:r>
      <w:r w:rsidRPr="00FA158B">
        <w:rPr>
          <w:color w:val="auto"/>
        </w:rPr>
        <w:t xml:space="preserve"> </w:t>
      </w:r>
      <w:r w:rsidRPr="00FA158B">
        <w:t>et dans son Catalogue des prestations.</w:t>
      </w:r>
    </w:p>
    <w:p w14:paraId="1D3F8C11" w14:textId="77777777" w:rsidR="00A95F3E" w:rsidRPr="00A27113" w:rsidRDefault="00A95F3E" w:rsidP="0081571C">
      <w:pPr>
        <w:pStyle w:val="Titre1"/>
      </w:pPr>
      <w:bookmarkStart w:id="21" w:name="_Toc77686030"/>
      <w:r w:rsidRPr="00A27113">
        <w:t>Comptage</w:t>
      </w:r>
      <w:bookmarkEnd w:id="21"/>
    </w:p>
    <w:p w14:paraId="29ED1CB4" w14:textId="77777777" w:rsidR="00A95F3E" w:rsidRPr="00A27113" w:rsidRDefault="00A95F3E" w:rsidP="0081571C">
      <w:r w:rsidRPr="00A27113">
        <w:t xml:space="preserve">Il est installé un équipement de comptage et de contrôle par Point de Livraison. </w:t>
      </w:r>
    </w:p>
    <w:p w14:paraId="0872E588" w14:textId="77777777" w:rsidR="00A95F3E" w:rsidRPr="00A27113" w:rsidRDefault="00A95F3E" w:rsidP="0081571C">
      <w:pPr>
        <w:pStyle w:val="Titre2"/>
      </w:pPr>
      <w:bookmarkStart w:id="22" w:name="_Toc77686031"/>
      <w:r w:rsidRPr="00A27113">
        <w:t>Dispositif de comptage et de contrôle</w:t>
      </w:r>
      <w:bookmarkEnd w:id="22"/>
    </w:p>
    <w:p w14:paraId="3ADC5877" w14:textId="77777777" w:rsidR="00A95F3E" w:rsidRPr="00A27113" w:rsidRDefault="00A95F3E" w:rsidP="0081571C"/>
    <w:p w14:paraId="323AA0B4" w14:textId="77777777" w:rsidR="00A95F3E" w:rsidRPr="00A27113" w:rsidRDefault="00A95F3E" w:rsidP="0081571C">
      <w:r w:rsidRPr="00A27113">
        <w:t xml:space="preserve">Les appareils de mesure et de contrôle permettent le contrôle des caractéristiques techniques de l’accès au RPD et leurs adaptations aux conditions du Contrat Unique concerné, et servent à la facturation de l’accès au RPD. Ils sont scellés par </w:t>
      </w:r>
      <w:r>
        <w:t>le GRD</w:t>
      </w:r>
      <w:r w:rsidRPr="00A27113">
        <w:t xml:space="preserve">. </w:t>
      </w:r>
    </w:p>
    <w:p w14:paraId="0E33DA35" w14:textId="77777777" w:rsidR="00A95F3E" w:rsidRPr="00A27113" w:rsidRDefault="00A95F3E" w:rsidP="0081571C">
      <w:r w:rsidRPr="00A27113">
        <w:t xml:space="preserve">La documentation technique de référence librement accessible sur le </w:t>
      </w:r>
      <w:r>
        <w:t>Site internet</w:t>
      </w:r>
      <w:r w:rsidRPr="00A27113">
        <w:t xml:space="preserve"> </w:t>
      </w:r>
      <w:r>
        <w:t>du GRD</w:t>
      </w:r>
      <w:r w:rsidRPr="00A27113">
        <w:t xml:space="preserve"> </w:t>
      </w:r>
      <w:r>
        <w:rPr>
          <w:noProof/>
        </w:rPr>
        <w:t>ree-elbeuf.com</w:t>
      </w:r>
      <w:r w:rsidRPr="00A27113">
        <w:t xml:space="preserve"> constitue le </w:t>
      </w:r>
      <w:r>
        <w:t>Référentiel</w:t>
      </w:r>
      <w:r w:rsidRPr="00A27113">
        <w:t xml:space="preserve"> des prescriptions techniques applicables en matière de dispositif de comptage.</w:t>
      </w:r>
    </w:p>
    <w:p w14:paraId="7646DB4C" w14:textId="77777777" w:rsidR="00A95F3E" w:rsidRPr="00A27113" w:rsidRDefault="00A95F3E" w:rsidP="0081571C">
      <w:pPr>
        <w:pStyle w:val="Titre3"/>
      </w:pPr>
      <w:bookmarkStart w:id="23" w:name="_Toc77686032"/>
      <w:r w:rsidRPr="00A27113">
        <w:t>Description des équipements du Dispositif de comptage et de contrôle</w:t>
      </w:r>
      <w:bookmarkEnd w:id="23"/>
    </w:p>
    <w:p w14:paraId="1757EDB8" w14:textId="77777777" w:rsidR="00A95F3E" w:rsidRPr="00A27113" w:rsidRDefault="00A95F3E" w:rsidP="0081571C">
      <w:pPr>
        <w:pStyle w:val="Titre4"/>
      </w:pPr>
      <w:r w:rsidRPr="00A27113">
        <w:t>Equipements du Dispositif de comptage et de contrôle</w:t>
      </w:r>
    </w:p>
    <w:p w14:paraId="2347701B" w14:textId="77777777" w:rsidR="00A95F3E" w:rsidRPr="00A27113" w:rsidRDefault="00A95F3E" w:rsidP="0081571C">
      <w:r w:rsidRPr="00A27113">
        <w:t>Le Dispositif de comptage et de contrôle comprend généralement les équipements suivants :</w:t>
      </w:r>
    </w:p>
    <w:p w14:paraId="06A4817F" w14:textId="77777777" w:rsidR="00A95F3E" w:rsidRPr="00A27113" w:rsidRDefault="00A95F3E" w:rsidP="0081571C">
      <w:pPr>
        <w:pStyle w:val="SPuce"/>
      </w:pPr>
      <w:r w:rsidRPr="00A27113">
        <w:t>un Compteur ;</w:t>
      </w:r>
    </w:p>
    <w:p w14:paraId="700895C3" w14:textId="77777777" w:rsidR="00A95F3E" w:rsidRPr="00A27113" w:rsidRDefault="00A95F3E" w:rsidP="0081571C">
      <w:pPr>
        <w:pStyle w:val="SPuce"/>
      </w:pPr>
      <w:r w:rsidRPr="00A27113">
        <w:t>un Disjoncteur de branchement;</w:t>
      </w:r>
    </w:p>
    <w:p w14:paraId="146655A0" w14:textId="77777777" w:rsidR="00A95F3E" w:rsidRPr="00A27113" w:rsidRDefault="00A95F3E" w:rsidP="0081571C">
      <w:pPr>
        <w:pStyle w:val="SPuce"/>
      </w:pPr>
      <w:r w:rsidRPr="00A27113">
        <w:t>un panneau de contrôle ;</w:t>
      </w:r>
    </w:p>
    <w:p w14:paraId="34EF914D" w14:textId="77777777" w:rsidR="00A95F3E" w:rsidRPr="00A27113" w:rsidRDefault="00A95F3E" w:rsidP="0081571C">
      <w:pPr>
        <w:pStyle w:val="SPuce"/>
      </w:pPr>
      <w:r w:rsidRPr="00A27113">
        <w:t>éventuellement, dans le cas d’un Compteur électronique, une liaison de téléreport accessible du domaine public.</w:t>
      </w:r>
    </w:p>
    <w:p w14:paraId="65A5F6F6" w14:textId="77777777" w:rsidR="00A95F3E" w:rsidRPr="00A27113" w:rsidRDefault="00A95F3E" w:rsidP="0081571C">
      <w:r w:rsidRPr="00A27113">
        <w:t>Les équipements composant le Dispositif de comptage sont décrits dans le Contrat Unique.</w:t>
      </w:r>
    </w:p>
    <w:p w14:paraId="2B0019DA" w14:textId="77777777" w:rsidR="00A95F3E" w:rsidRPr="00A27113" w:rsidRDefault="00A95F3E" w:rsidP="0081571C">
      <w:pPr>
        <w:rPr>
          <w:rFonts w:cs="Arial"/>
        </w:rPr>
      </w:pPr>
      <w:r w:rsidRPr="00A27113">
        <w:rPr>
          <w:rFonts w:cs="Arial"/>
        </w:rPr>
        <w:t xml:space="preserve">Les caractéristiques des Compteurs sont définies par l’arrêté « comptage » du 4 janvier 2012. Les Compteurs dont </w:t>
      </w:r>
      <w:r>
        <w:rPr>
          <w:rFonts w:cs="Arial"/>
        </w:rPr>
        <w:t>fait usage</w:t>
      </w:r>
      <w:r w:rsidRPr="00A27113">
        <w:rPr>
          <w:rFonts w:cs="Arial"/>
        </w:rPr>
        <w:t xml:space="preserve"> </w:t>
      </w:r>
      <w:r>
        <w:rPr>
          <w:rFonts w:cs="Arial"/>
        </w:rPr>
        <w:t>le GRD</w:t>
      </w:r>
      <w:r w:rsidRPr="00A27113">
        <w:rPr>
          <w:rFonts w:cs="Arial"/>
        </w:rPr>
        <w:t xml:space="preserve"> seront mis en conformité à cet arrêté, dans le respect des échéances fixées par les pouvoirs publics. </w:t>
      </w:r>
    </w:p>
    <w:p w14:paraId="3DEC9BE8" w14:textId="77777777" w:rsidR="00A95F3E" w:rsidRPr="00A27113" w:rsidRDefault="00A95F3E" w:rsidP="0081571C">
      <w:r w:rsidRPr="00A27113">
        <w:rPr>
          <w:szCs w:val="18"/>
        </w:rPr>
        <w:t>La pose d’un Compteur Communicant</w:t>
      </w:r>
      <w:r w:rsidRPr="00A27113">
        <w:rPr>
          <w:sz w:val="16"/>
        </w:rPr>
        <w:t xml:space="preserve"> </w:t>
      </w:r>
      <w:r w:rsidRPr="00A27113">
        <w:rPr>
          <w:szCs w:val="18"/>
        </w:rPr>
        <w:t xml:space="preserve">s’effectue à l’initiative </w:t>
      </w:r>
      <w:r>
        <w:rPr>
          <w:szCs w:val="18"/>
        </w:rPr>
        <w:t>du GRD</w:t>
      </w:r>
      <w:r w:rsidRPr="00A27113">
        <w:rPr>
          <w:szCs w:val="18"/>
        </w:rPr>
        <w:t>, conformément aux articles R341-4 à 8 du code de l’én</w:t>
      </w:r>
      <w:r>
        <w:rPr>
          <w:szCs w:val="18"/>
        </w:rPr>
        <w:t>ergie. Dans ce cadre, le GRD</w:t>
      </w:r>
      <w:r w:rsidRPr="00A27113">
        <w:rPr>
          <w:szCs w:val="18"/>
        </w:rPr>
        <w:t xml:space="preserve"> prend à sa charge la pose du Compteur Communicant. </w:t>
      </w:r>
    </w:p>
    <w:p w14:paraId="3925F9B5" w14:textId="77777777" w:rsidR="00A95F3E" w:rsidRPr="00A27113" w:rsidRDefault="00A95F3E" w:rsidP="0081571C">
      <w:pPr>
        <w:pStyle w:val="Titre4"/>
      </w:pPr>
      <w:r w:rsidRPr="00A27113">
        <w:t>Emplacement de comptage</w:t>
      </w:r>
    </w:p>
    <w:p w14:paraId="00E97A36" w14:textId="77777777" w:rsidR="00A95F3E" w:rsidRPr="00A27113" w:rsidRDefault="00A95F3E" w:rsidP="0081571C">
      <w:r w:rsidRPr="00A27113">
        <w:t xml:space="preserve">Le Client a l’obligation de mettre gratuitement à la disposition </w:t>
      </w:r>
      <w:r>
        <w:t>du GRD</w:t>
      </w:r>
      <w:r w:rsidRPr="00A27113">
        <w:t xml:space="preserve"> un emplacement de comptage, dont les caractéristiques doivent être conformes aux normes en vigueur et, le cas échéant, à celles définies dans la Convention de Raccordement. </w:t>
      </w:r>
    </w:p>
    <w:p w14:paraId="18021AD9" w14:textId="77777777" w:rsidR="00A95F3E" w:rsidRPr="00A27113" w:rsidRDefault="00A95F3E" w:rsidP="0081571C">
      <w:pPr>
        <w:pStyle w:val="Titre4"/>
      </w:pPr>
      <w:r w:rsidRPr="00A27113">
        <w:t>Equipements supplémentaires</w:t>
      </w:r>
    </w:p>
    <w:p w14:paraId="23CCB746" w14:textId="77777777" w:rsidR="00A95F3E" w:rsidRPr="00A27113" w:rsidRDefault="00A95F3E" w:rsidP="0081571C">
      <w:r w:rsidRPr="00A27113">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w:t>
      </w:r>
      <w:r>
        <w:t>le GRD</w:t>
      </w:r>
      <w:r w:rsidRPr="00A27113">
        <w:t xml:space="preserve"> pour la facturation de l'accès au RPD, sauf dans les cas visés à l’article </w:t>
      </w:r>
      <w:r>
        <w:t>3.2.4</w:t>
      </w:r>
      <w:r w:rsidRPr="00A27113">
        <w:t xml:space="preserve"> des présentes dispositions générales.</w:t>
      </w:r>
    </w:p>
    <w:p w14:paraId="7F9FBF7F" w14:textId="77777777" w:rsidR="00A95F3E" w:rsidRPr="00A27113" w:rsidRDefault="00A95F3E" w:rsidP="0081571C">
      <w:pPr>
        <w:pStyle w:val="Titre3"/>
      </w:pPr>
      <w:bookmarkStart w:id="24" w:name="_Toc77686033"/>
      <w:r w:rsidRPr="00A27113">
        <w:t>Fourniture des équipements du Dispositif de comptage</w:t>
      </w:r>
      <w:bookmarkEnd w:id="24"/>
      <w:r w:rsidRPr="00A27113">
        <w:t xml:space="preserve"> </w:t>
      </w:r>
    </w:p>
    <w:p w14:paraId="2E826323" w14:textId="77777777" w:rsidR="00A95F3E" w:rsidRPr="00A27113" w:rsidRDefault="00A95F3E" w:rsidP="0081571C">
      <w:r w:rsidRPr="00A27113">
        <w:t xml:space="preserve">Tous les éléments du Dispositif de comptage sont fournis par </w:t>
      </w:r>
      <w:r>
        <w:t>le GRD</w:t>
      </w:r>
      <w:r w:rsidRPr="00A27113">
        <w:t>.</w:t>
      </w:r>
    </w:p>
    <w:p w14:paraId="5B21F87A" w14:textId="77777777" w:rsidR="00A95F3E" w:rsidRPr="00A27113" w:rsidRDefault="00A95F3E" w:rsidP="0081571C">
      <w:pPr>
        <w:pStyle w:val="Titre3"/>
      </w:pPr>
      <w:bookmarkStart w:id="25" w:name="_Toc77686034"/>
      <w:r w:rsidRPr="00A27113">
        <w:t>Pose des équipements du Dispositif de comptage</w:t>
      </w:r>
      <w:bookmarkEnd w:id="25"/>
    </w:p>
    <w:p w14:paraId="41463417" w14:textId="77777777" w:rsidR="00A95F3E" w:rsidRPr="00A27113" w:rsidRDefault="00A95F3E" w:rsidP="0081571C">
      <w:r w:rsidRPr="00A27113">
        <w:t xml:space="preserve">Les interventions </w:t>
      </w:r>
      <w:r>
        <w:t>du GRD</w:t>
      </w:r>
      <w:r w:rsidRPr="00A27113">
        <w:t xml:space="preserve"> sont réalisées et facturées au Fournisseur dans les conditions décrites au Catalogue des prestations </w:t>
      </w:r>
      <w:r>
        <w:t>du GRD</w:t>
      </w:r>
      <w:r w:rsidRPr="00A27113">
        <w:t xml:space="preserve"> en vigueur. </w:t>
      </w:r>
    </w:p>
    <w:p w14:paraId="3D49330B" w14:textId="77777777" w:rsidR="00A95F3E" w:rsidRPr="00A27113" w:rsidRDefault="00A95F3E" w:rsidP="0081571C">
      <w:pPr>
        <w:pStyle w:val="Titre3"/>
      </w:pPr>
      <w:bookmarkStart w:id="26" w:name="_Toc77686035"/>
      <w:r w:rsidRPr="00A27113">
        <w:t>Accès au Dispositif de Comptage</w:t>
      </w:r>
      <w:bookmarkEnd w:id="26"/>
    </w:p>
    <w:p w14:paraId="3C37FAEC" w14:textId="77777777" w:rsidR="00A95F3E" w:rsidRPr="00A27113" w:rsidRDefault="00A95F3E" w:rsidP="0081571C">
      <w:r>
        <w:t>Le GRD</w:t>
      </w:r>
      <w:r w:rsidRPr="00A27113">
        <w:t xml:space="preserve"> peut accéder à tout moment à l’emplacement de comptage visé à l'article </w:t>
      </w:r>
      <w:r>
        <w:t>3.1.1.2</w:t>
      </w:r>
      <w:r w:rsidRPr="00A27113">
        <w:t xml:space="preserve">, afin d'assurer sa mission de contrôle ou en cas de défaillance du Dispositif de comptage. </w:t>
      </w:r>
    </w:p>
    <w:p w14:paraId="4AA205FA" w14:textId="77777777" w:rsidR="00A95F3E" w:rsidRPr="00A27113" w:rsidRDefault="00A95F3E" w:rsidP="0081571C">
      <w:r>
        <w:t>Le GRD</w:t>
      </w:r>
      <w:r w:rsidRPr="00A27113">
        <w:t xml:space="preserve"> doit pouvoir accéder au moins une fois par an au Dispositif de comptage afin d'assurer la relève du Compteur. </w:t>
      </w:r>
      <w:r w:rsidRPr="002C0BB1">
        <w:t xml:space="preserve">En fonctionnement normal d’un Compteur Communicant, la relève se fait à distance. </w:t>
      </w:r>
      <w:r w:rsidRPr="00A27113">
        <w:t xml:space="preserve">Si un Compteur n’a pas pu être relevé par </w:t>
      </w:r>
      <w:r>
        <w:t>le GRD</w:t>
      </w:r>
      <w:r w:rsidRPr="00A27113">
        <w:t xml:space="preserve"> au cours des douze derniers mois du fait du Client, le Client doit prendre alors un rendez-vous, via le Fournisseur, pour un relevé spécial qui est facturé via le Fournisseur selon le Catalogue des prestations </w:t>
      </w:r>
      <w:r>
        <w:t>du GRD</w:t>
      </w:r>
      <w:r w:rsidRPr="00A27113">
        <w:t>.</w:t>
      </w:r>
    </w:p>
    <w:p w14:paraId="44CC2448" w14:textId="77777777" w:rsidR="00A95F3E" w:rsidRPr="00A27113" w:rsidRDefault="00A95F3E" w:rsidP="0081571C">
      <w:r w:rsidRPr="00A27113">
        <w:t xml:space="preserve">Dans les cas où l’accès au Compteur nécessite la présence du Client ou celle d’un tiers, ce dernier est </w:t>
      </w:r>
      <w:r>
        <w:t>informé au préalable du passage</w:t>
      </w:r>
      <w:r w:rsidRPr="00A27113">
        <w:t xml:space="preserve"> </w:t>
      </w:r>
      <w:r>
        <w:t>du GRD</w:t>
      </w:r>
      <w:r w:rsidRPr="00A27113">
        <w:t xml:space="preserve">. </w:t>
      </w:r>
      <w:r>
        <w:t>Le GRD</w:t>
      </w:r>
      <w:r w:rsidRPr="00A27113">
        <w:t xml:space="preserve"> informe les Utilisateurs du RPD du passage du releveur par le ou les moyen(s) qu'il juge le(s) plus adapté(s). A titre d'information, les principaux moyens utilisés aujourd'hui sont un courrier ou un courriel d'annonce du passage du releveur ou des avis de passage en bas des immeubles. Le Client doit alors prendre toute disposition nécessaire pour </w:t>
      </w:r>
      <w:r>
        <w:t>que le GRD</w:t>
      </w:r>
      <w:r w:rsidRPr="00A27113">
        <w:t xml:space="preserve"> puisse accéder en toute sécurité et sans difficulté aux équipements du Dispositif de comptage.</w:t>
      </w:r>
    </w:p>
    <w:p w14:paraId="6698BD8A" w14:textId="77777777" w:rsidR="00A95F3E" w:rsidRPr="00A27113" w:rsidRDefault="00A95F3E" w:rsidP="0081571C">
      <w:r w:rsidRPr="00A27113">
        <w:t>Lorsqu’il ne dispose pas d’un Compteur Communic</w:t>
      </w:r>
      <w:r>
        <w:t>ant, le Client</w:t>
      </w:r>
      <w:r w:rsidRPr="00A27113">
        <w:t xml:space="preserve"> la possibilité de communiquer ses index </w:t>
      </w:r>
      <w:r>
        <w:t>au GRD</w:t>
      </w:r>
      <w:r w:rsidRPr="00A27113">
        <w:t xml:space="preserve">, soit directement, soit via le Fournisseur : c’est l’auto-relevé. </w:t>
      </w:r>
    </w:p>
    <w:p w14:paraId="0CAC39BE" w14:textId="77777777" w:rsidR="00A95F3E" w:rsidRPr="00A27113" w:rsidRDefault="00A95F3E" w:rsidP="0081571C">
      <w:r w:rsidRPr="00A27113">
        <w:t xml:space="preserve">Les données de comptage ainsi envoyées par le Client font l'objet d'un contrôle de cohérence par </w:t>
      </w:r>
      <w:r>
        <w:t>le GRD</w:t>
      </w:r>
      <w:r w:rsidRPr="00A27113">
        <w:t xml:space="preserve"> notamment sur la base de l’historique de consommation du Client sur ce PDL. </w:t>
      </w:r>
    </w:p>
    <w:p w14:paraId="462FE2FF" w14:textId="77777777" w:rsidR="00A95F3E" w:rsidRPr="00A27113" w:rsidRDefault="00A95F3E" w:rsidP="0081571C">
      <w:r>
        <w:t>Le GRD</w:t>
      </w:r>
      <w:r w:rsidRPr="00A27113">
        <w:t xml:space="preserve"> prend en compte ces index auto-relevés pour la facturation lorsqu’ils sont transmis dans les plages de facturation programmées par ses soins.</w:t>
      </w:r>
    </w:p>
    <w:p w14:paraId="36243A96" w14:textId="77777777" w:rsidR="00A95F3E" w:rsidRPr="00A27113" w:rsidRDefault="00A95F3E" w:rsidP="0081571C">
      <w:r w:rsidRPr="00A27113">
        <w:t xml:space="preserve">A titre d’information, les Clients peuvent aujourd’hui transmettre </w:t>
      </w:r>
      <w:r>
        <w:t>au GRD</w:t>
      </w:r>
      <w:r w:rsidRPr="00A27113">
        <w:t xml:space="preserve"> leurs index via le </w:t>
      </w:r>
      <w:r>
        <w:rPr>
          <w:noProof/>
        </w:rPr>
        <w:t>site Internet</w:t>
      </w:r>
      <w:r>
        <w:t xml:space="preserve"> </w:t>
      </w:r>
      <w:hyperlink r:id="rId13" w:history="1"/>
      <w:r w:rsidRPr="00A27113">
        <w:t>.</w:t>
      </w:r>
    </w:p>
    <w:p w14:paraId="26E86030" w14:textId="77777777" w:rsidR="00A95F3E" w:rsidRPr="00A27113" w:rsidRDefault="00A95F3E" w:rsidP="0081571C">
      <w:r w:rsidRPr="00A27113">
        <w:t xml:space="preserve">Cet auto-relevé proposé ne dispense pas le Client de l’obligation de laisser accéder </w:t>
      </w:r>
      <w:r>
        <w:t>le GRD</w:t>
      </w:r>
      <w:r w:rsidRPr="00A27113">
        <w:t xml:space="preserve"> au Compteur. </w:t>
      </w:r>
    </w:p>
    <w:p w14:paraId="3BBEE728" w14:textId="77777777" w:rsidR="00A95F3E" w:rsidRPr="00A27113" w:rsidRDefault="00A95F3E" w:rsidP="0077150C">
      <w:r>
        <w:t>Le GRD</w:t>
      </w:r>
      <w:r w:rsidRPr="00A27113">
        <w:t xml:space="preserve"> peut prendre contact avec le Fournisseur ou le Client pour valider l'index transmis, voire programmer - après en avoir avisé le Fournisseur - un rendez-vous en accord avec le Client pour un relevé spécial payant.</w:t>
      </w:r>
    </w:p>
    <w:p w14:paraId="25B6BB94" w14:textId="77777777" w:rsidR="00A95F3E" w:rsidRPr="00A27113" w:rsidRDefault="00A95F3E" w:rsidP="0081571C">
      <w:r w:rsidRPr="00A27113">
        <w:t xml:space="preserve">En cas de refus d’accès, les dispositions de l'article </w:t>
      </w:r>
      <w:r>
        <w:t>10.3</w:t>
      </w:r>
      <w:r w:rsidRPr="00A27113">
        <w:t xml:space="preserve"> s'appliquent. </w:t>
      </w:r>
    </w:p>
    <w:p w14:paraId="6E46F2A2" w14:textId="77777777" w:rsidR="00A95F3E" w:rsidRPr="00A27113" w:rsidRDefault="00A95F3E" w:rsidP="0081571C">
      <w:pPr>
        <w:pStyle w:val="Titre3"/>
      </w:pPr>
      <w:bookmarkStart w:id="27" w:name="_Toc77686036"/>
      <w:r w:rsidRPr="00A27113">
        <w:t>Contrôle et vérification métrologique des équipements du Dispositif de comptage</w:t>
      </w:r>
      <w:bookmarkEnd w:id="27"/>
    </w:p>
    <w:p w14:paraId="32D710D6" w14:textId="77777777" w:rsidR="00A95F3E" w:rsidRPr="00A27113" w:rsidRDefault="00A95F3E" w:rsidP="0081571C">
      <w:r w:rsidRPr="00A27113">
        <w:t xml:space="preserve">Le Contrôle des équipements du Dispositif de comptage est assuré par </w:t>
      </w:r>
      <w:r>
        <w:t>le GRD</w:t>
      </w:r>
      <w:r w:rsidRPr="00A27113">
        <w:t>.</w:t>
      </w:r>
    </w:p>
    <w:p w14:paraId="7FADAF70" w14:textId="77777777" w:rsidR="00A95F3E" w:rsidRPr="00A27113" w:rsidRDefault="00A95F3E" w:rsidP="0081571C">
      <w:r w:rsidRPr="00A27113">
        <w:t xml:space="preserve">Le Client ou son Fournisseur peut, à tout moment, demander </w:t>
      </w:r>
      <w:r>
        <w:t>au GRD</w:t>
      </w:r>
      <w:r w:rsidRPr="00A27113">
        <w:t xml:space="preserve"> une vérification métrologique des équipements du Dispositif de comptage, dans les conditions décrites au Catalogue des prestations </w:t>
      </w:r>
      <w:r>
        <w:t>du GRD</w:t>
      </w:r>
      <w:r w:rsidRPr="00A27113">
        <w:t xml:space="preserve"> en vigueur.</w:t>
      </w:r>
    </w:p>
    <w:p w14:paraId="453069C0" w14:textId="77777777" w:rsidR="00A95F3E" w:rsidRPr="00A27113" w:rsidRDefault="00A95F3E" w:rsidP="0081571C">
      <w:pPr>
        <w:pStyle w:val="Titre3"/>
      </w:pPr>
      <w:bookmarkStart w:id="28" w:name="_Toc77686037"/>
      <w:r w:rsidRPr="00A27113">
        <w:t>Entretien et renouvellement des équipements du Dispositif de comptage</w:t>
      </w:r>
      <w:bookmarkEnd w:id="28"/>
      <w:r w:rsidRPr="00A27113">
        <w:t xml:space="preserve"> </w:t>
      </w:r>
    </w:p>
    <w:p w14:paraId="6D55D392" w14:textId="77777777" w:rsidR="00A95F3E" w:rsidRPr="00A27113" w:rsidRDefault="00A95F3E" w:rsidP="0081571C">
      <w:r w:rsidRPr="00A27113">
        <w:t xml:space="preserve">L’entretien et le renouvellement des équipements du Dispositif de comptage fournis par </w:t>
      </w:r>
      <w:r>
        <w:t>le GRD</w:t>
      </w:r>
      <w:r w:rsidRPr="00A27113">
        <w:t xml:space="preserve"> sont assurés par celle-ci. Les frais correspondants sont à la charge </w:t>
      </w:r>
      <w:r>
        <w:t>du GRD</w:t>
      </w:r>
      <w:r w:rsidRPr="00A27113">
        <w:t xml:space="preserve">, sauf en cas de détérioration imputable au Client. </w:t>
      </w:r>
    </w:p>
    <w:p w14:paraId="10A28CAA" w14:textId="77777777" w:rsidR="00A95F3E" w:rsidRPr="00A27113" w:rsidRDefault="00A95F3E" w:rsidP="0081571C">
      <w:r w:rsidRPr="00A27113">
        <w:t xml:space="preserve">L’entretien et le renouvellement des équipements du Dispositif de comptage non fournis par </w:t>
      </w:r>
      <w:r>
        <w:t>le GRD</w:t>
      </w:r>
      <w:r w:rsidRPr="00A27113">
        <w:t xml:space="preserve"> sont sous la responsabilité du Client. Lorsque l’opération d’entretien ou de renouvellement nécessite la dépose des scellés, la présence </w:t>
      </w:r>
      <w:r>
        <w:t>du GRD</w:t>
      </w:r>
      <w:r w:rsidRPr="00A27113">
        <w:t xml:space="preserve"> est obligatoire et le Client est tenu de demander l’intervention </w:t>
      </w:r>
      <w:r>
        <w:t>du GRD</w:t>
      </w:r>
      <w:r w:rsidRPr="00A27113">
        <w:t xml:space="preserve"> en préalable à l’opération. Cette intervention </w:t>
      </w:r>
      <w:r>
        <w:t>du GRD</w:t>
      </w:r>
      <w:r w:rsidRPr="00A27113">
        <w:t xml:space="preserve"> est réalisée et facturée selon les modalités du Catalogue des prestations </w:t>
      </w:r>
      <w:r>
        <w:t>du GRD</w:t>
      </w:r>
      <w:r w:rsidRPr="00A27113">
        <w:t xml:space="preserve"> en vigueur.</w:t>
      </w:r>
    </w:p>
    <w:p w14:paraId="46FB1CB7" w14:textId="77777777" w:rsidR="00A95F3E" w:rsidRPr="00A27113" w:rsidRDefault="00A95F3E" w:rsidP="0081571C">
      <w:pPr>
        <w:pStyle w:val="Titre3"/>
      </w:pPr>
      <w:bookmarkStart w:id="29" w:name="_Toc77686038"/>
      <w:r w:rsidRPr="00A27113">
        <w:t>Modification des équipements du Dispositif de comptage</w:t>
      </w:r>
      <w:bookmarkEnd w:id="29"/>
    </w:p>
    <w:p w14:paraId="2A8972D8" w14:textId="77777777" w:rsidR="00A95F3E" w:rsidRPr="00A27113" w:rsidRDefault="00A95F3E" w:rsidP="0081571C">
      <w:r>
        <w:t>Le GRD</w:t>
      </w:r>
      <w:r w:rsidRPr="00A27113">
        <w:t xml:space="preserve"> peut procéder, à son initiative, au remplacement des équipements dont elle a la responsabilité en fonction d’évolutions contractuelles ou d’avancées technologiques.</w:t>
      </w:r>
    </w:p>
    <w:p w14:paraId="7607A48D" w14:textId="77777777" w:rsidR="00A95F3E" w:rsidRPr="00A27113" w:rsidRDefault="00A95F3E" w:rsidP="0081571C">
      <w:r w:rsidRPr="00A27113">
        <w:t xml:space="preserve">Avant toute action, </w:t>
      </w:r>
      <w:r>
        <w:t>le GRD</w:t>
      </w:r>
      <w:r w:rsidRPr="00A27113">
        <w:t xml:space="preserve"> et le Client coordonnent leurs interventions afin de procéder aux remplacements des équipements dont ils ont la responsabilité.</w:t>
      </w:r>
    </w:p>
    <w:p w14:paraId="1E40BE7E" w14:textId="77777777" w:rsidR="00A95F3E" w:rsidRPr="00A27113" w:rsidRDefault="00A95F3E" w:rsidP="0081571C">
      <w:r w:rsidRPr="00A27113">
        <w:t xml:space="preserve">Lorsque l'opération de modification nécessite la dépose des scellés, la présence </w:t>
      </w:r>
      <w:r>
        <w:t>du GRD</w:t>
      </w:r>
      <w:r w:rsidRPr="00A27113">
        <w:t xml:space="preserve"> est obligatoire et le Client est tenu de demander l'intervention </w:t>
      </w:r>
      <w:r>
        <w:t>du GRD</w:t>
      </w:r>
      <w:r w:rsidRPr="00A27113">
        <w:t xml:space="preserve"> en préalable à l'opération. Cette intervention </w:t>
      </w:r>
      <w:r>
        <w:t>du GRD</w:t>
      </w:r>
      <w:r w:rsidRPr="00A27113">
        <w:t xml:space="preserve"> est réalisée et facturée selon les modalités du Catalogue des prestations </w:t>
      </w:r>
      <w:r>
        <w:t>du GRD</w:t>
      </w:r>
      <w:r w:rsidRPr="00A27113">
        <w:t xml:space="preserve"> en vigueur. </w:t>
      </w:r>
    </w:p>
    <w:p w14:paraId="34D8B89F" w14:textId="77777777" w:rsidR="00A95F3E" w:rsidRPr="00A27113" w:rsidRDefault="00A95F3E" w:rsidP="0081571C">
      <w:pPr>
        <w:pStyle w:val="Titre3"/>
      </w:pPr>
      <w:bookmarkStart w:id="30" w:name="_Toc77686039"/>
      <w:r w:rsidRPr="00A27113">
        <w:t>Respect du Dispositif de comptage</w:t>
      </w:r>
      <w:bookmarkEnd w:id="30"/>
    </w:p>
    <w:p w14:paraId="792F8539" w14:textId="77777777" w:rsidR="00A95F3E" w:rsidRPr="00A27113" w:rsidRDefault="00A95F3E" w:rsidP="0081571C">
      <w:r w:rsidRPr="00A27113">
        <w:t xml:space="preserve">Le Client et </w:t>
      </w:r>
      <w:r>
        <w:t>le GRD</w:t>
      </w:r>
      <w:r w:rsidRPr="00A27113">
        <w:t xml:space="preserve"> s’engagent, pour eux-mêmes et pour leur personnel, leurs préposés, et leurs sous-traitants respectifs, à ne pas porter atteinte à l’intégrité et au fonctionnement du Dispositif de comptage.</w:t>
      </w:r>
    </w:p>
    <w:p w14:paraId="2F16D744" w14:textId="77777777" w:rsidR="00A95F3E" w:rsidRPr="00A27113" w:rsidRDefault="00A95F3E" w:rsidP="0081571C">
      <w:r w:rsidRPr="00A27113">
        <w:t xml:space="preserve">Le Client s'engage, pour lui-même et pour ses personnels, ses préposés et ses sous-traitants, à ne pas briser les scellés apposés par </w:t>
      </w:r>
      <w:r>
        <w:t>le GRD</w:t>
      </w:r>
      <w:r w:rsidRPr="00A27113">
        <w:t>.</w:t>
      </w:r>
    </w:p>
    <w:p w14:paraId="1A4D136A" w14:textId="77777777" w:rsidR="00A95F3E" w:rsidRPr="00A27113" w:rsidRDefault="00A95F3E" w:rsidP="0081571C">
      <w:r w:rsidRPr="00A27113">
        <w:t xml:space="preserve">Les fraudes portant sur le matériel de comptage relèvent du droit commun et l'ensemble des frais liés au traitement du dossier seront à la charge du Client, sauf si le Client démontre que la fraude ne lui est pas imputable et qu’elle n’est pas imputable à son personnel, ni à ses préposés, ni à ses sous-traitants éventuels. Ces frais incluent notamment un forfait « Agent assermenté » dont le montant figure au Catalogue des prestations </w:t>
      </w:r>
      <w:r>
        <w:t>du GRD</w:t>
      </w:r>
      <w:r w:rsidRPr="00A27113">
        <w:t>.</w:t>
      </w:r>
    </w:p>
    <w:p w14:paraId="19EE7678" w14:textId="77777777" w:rsidR="00A95F3E" w:rsidRPr="00A27113" w:rsidRDefault="00A95F3E" w:rsidP="0081571C">
      <w:pPr>
        <w:pStyle w:val="Titre3"/>
      </w:pPr>
      <w:bookmarkStart w:id="31" w:name="_Toc77686040"/>
      <w:r w:rsidRPr="00A27113">
        <w:t>Dysfonctionnement des appareils du Dispositif de comptage</w:t>
      </w:r>
      <w:bookmarkEnd w:id="31"/>
    </w:p>
    <w:p w14:paraId="6C438C78" w14:textId="77777777" w:rsidR="00A95F3E" w:rsidRPr="00A27113" w:rsidRDefault="00A95F3E" w:rsidP="0081571C">
      <w:r w:rsidRPr="00A27113">
        <w:t xml:space="preserve">En cas d’arrêt ou de fonctionnement défectueux du Dispositif de comptage, les modalités de correction et/ou de remplacement des mesures défaillantes ou manquantes applicables sont précisées à l’article </w:t>
      </w:r>
      <w:r>
        <w:t>3.2.4</w:t>
      </w:r>
      <w:r w:rsidRPr="00A27113">
        <w:t xml:space="preserve"> ci-dessous.</w:t>
      </w:r>
    </w:p>
    <w:p w14:paraId="7670BE3E" w14:textId="77777777" w:rsidR="00A95F3E" w:rsidRPr="00A27113" w:rsidRDefault="00A95F3E" w:rsidP="0081571C">
      <w:r w:rsidRPr="00A27113">
        <w:t xml:space="preserve">Celui, </w:t>
      </w:r>
      <w:r>
        <w:t>du GRD</w:t>
      </w:r>
      <w:r w:rsidRPr="00A27113">
        <w:t xml:space="preserve"> ou du Client qui, a fourni le(s) appareil(s) défectueux (à l’exception du Compteur) s'engage à procéder à son (leur) remplacement ou à sa (leur) réparation dans les meilleurs délais. Lorsque le Compteur est défectueux, le Client doit laisser </w:t>
      </w:r>
      <w:r>
        <w:t>le GRD</w:t>
      </w:r>
      <w:r w:rsidRPr="00A27113">
        <w:t xml:space="preserve"> procéder à son remplacement, conformément à l’obligation de comptage d’un GRD telle que définie à l'article L322-8 du code de l’énergie.</w:t>
      </w:r>
    </w:p>
    <w:p w14:paraId="5E3F4B08" w14:textId="77777777" w:rsidR="00A95F3E" w:rsidRPr="00A27113" w:rsidRDefault="00A95F3E" w:rsidP="0081571C">
      <w:pPr>
        <w:pStyle w:val="Titre2"/>
      </w:pPr>
      <w:bookmarkStart w:id="32" w:name="_Toc77686041"/>
      <w:r w:rsidRPr="00A27113">
        <w:t>Définition et utilisation des données de comptage</w:t>
      </w:r>
      <w:bookmarkEnd w:id="32"/>
    </w:p>
    <w:p w14:paraId="3D2E4B25" w14:textId="77777777" w:rsidR="00A95F3E" w:rsidRPr="00A27113" w:rsidRDefault="00A95F3E" w:rsidP="0081571C">
      <w:r w:rsidRPr="00A27113">
        <w:t xml:space="preserve">Le Dispositif de comptage visé à l’article </w:t>
      </w:r>
      <w:r>
        <w:t>3.1.1.1</w:t>
      </w:r>
      <w:r w:rsidRPr="00A27113">
        <w:t xml:space="preserve"> des présentes dispositions générales effectue la mesure et stocke les données relatives à la facturation de l’accès au RPD et à la Reconstitution des flux. </w:t>
      </w:r>
    </w:p>
    <w:p w14:paraId="3405B118" w14:textId="77777777" w:rsidR="00A95F3E" w:rsidRPr="00A27113" w:rsidRDefault="00A95F3E" w:rsidP="0081571C">
      <w:pPr>
        <w:pStyle w:val="Titre3"/>
      </w:pPr>
      <w:bookmarkStart w:id="33" w:name="_Toc77686042"/>
      <w:r w:rsidRPr="00A27113">
        <w:t>Données de comptage</w:t>
      </w:r>
      <w:bookmarkEnd w:id="33"/>
    </w:p>
    <w:p w14:paraId="5967B9B6" w14:textId="77777777" w:rsidR="00A95F3E" w:rsidRPr="00A27113" w:rsidRDefault="00A95F3E" w:rsidP="0081571C">
      <w:r w:rsidRPr="00A27113">
        <w:t>L’ensemble des données ci-dessous constitue les données de comptage qui font foi pour la facturation de l'acheminement au Fournisseur et qui sont transmises au Fournisseur pour qu'il facture ses fournitures.</w:t>
      </w:r>
    </w:p>
    <w:p w14:paraId="7B4C6CB5" w14:textId="77777777" w:rsidR="00A95F3E" w:rsidRPr="00A27113" w:rsidRDefault="00A95F3E" w:rsidP="0081571C">
      <w:r w:rsidRPr="00A27113">
        <w:t xml:space="preserve">Les données de comptage transmises à RTE pour la Reconstitution des flux, conformément aux stipulations du chapitre </w:t>
      </w:r>
      <w:r>
        <w:t>6</w:t>
      </w:r>
      <w:r w:rsidRPr="00A27113">
        <w:t xml:space="preserve"> des présentes dispositions générales, sont décrites dans le contrat GRD-RE conclu entre le Responsable d’Equilibre désigné par le Fournisseur et </w:t>
      </w:r>
      <w:r>
        <w:t>le GRD</w:t>
      </w:r>
      <w:r w:rsidRPr="00A27113">
        <w:t xml:space="preserve">. </w:t>
      </w:r>
    </w:p>
    <w:p w14:paraId="3DF343AE" w14:textId="77777777" w:rsidR="00A95F3E" w:rsidRPr="00A27113" w:rsidRDefault="00A95F3E" w:rsidP="0081571C">
      <w:pPr>
        <w:pStyle w:val="Titre4"/>
      </w:pPr>
      <w:r w:rsidRPr="00A27113">
        <w:t>Tous Points de Livraison BT avec PS ≤ 36 kVA</w:t>
      </w:r>
    </w:p>
    <w:p w14:paraId="387841A7" w14:textId="77777777" w:rsidR="00A95F3E" w:rsidRPr="00A27113" w:rsidRDefault="00A95F3E" w:rsidP="0081571C">
      <w:r w:rsidRPr="00A27113">
        <w:t xml:space="preserve">Quel que soit le Dispositif de comptage, l’énergie active (exprimée en kWh) est mesurée. La consommation est calculée dans chaque </w:t>
      </w:r>
      <w:r>
        <w:t>Plag</w:t>
      </w:r>
      <w:r w:rsidRPr="00A27113">
        <w:t xml:space="preserve">e Temporelle par différence entre le dernier index d’énergie ayant servi à la facturation précédente et l’index relevé ou, à défaut, estimé par </w:t>
      </w:r>
      <w:r>
        <w:t>le GRD</w:t>
      </w:r>
      <w:r w:rsidRPr="00A27113">
        <w:t xml:space="preserve"> selon les modalités décrites dans ses </w:t>
      </w:r>
      <w:r>
        <w:t>Référentiel</w:t>
      </w:r>
      <w:r w:rsidRPr="00A27113">
        <w:t>s.</w:t>
      </w:r>
    </w:p>
    <w:p w14:paraId="787B7C88" w14:textId="77777777" w:rsidR="00A95F3E" w:rsidRPr="00A27113" w:rsidRDefault="00A95F3E" w:rsidP="0081571C">
      <w:pPr>
        <w:pStyle w:val="Titre4"/>
      </w:pPr>
      <w:r w:rsidRPr="00A27113">
        <w:t>Points de Livraison BT avec PS ≤ 36 kVA disposant d’un Compteur Communicant</w:t>
      </w:r>
    </w:p>
    <w:p w14:paraId="34655795" w14:textId="77777777" w:rsidR="00A95F3E" w:rsidRPr="00A27113" w:rsidRDefault="00A95F3E" w:rsidP="0081571C">
      <w:r w:rsidRPr="00A27113">
        <w:t xml:space="preserve">Un Compteur Communicant mesure et enregistre les consommations selon la répartition du calendrier tarifaire souscrit par le Fournisseur. Dans ce cas, les données de comptage qui sont transmises au Fournisseur pour qu’il facture ses fournitures sont calculées et transmises selon les modalités décrites dans le Catalogue des prestations et les </w:t>
      </w:r>
      <w:r>
        <w:t>R</w:t>
      </w:r>
      <w:r w:rsidRPr="00A27113">
        <w:t xml:space="preserve">éférentiels </w:t>
      </w:r>
      <w:r>
        <w:t>du GRD</w:t>
      </w:r>
      <w:r w:rsidRPr="00A27113">
        <w:t xml:space="preserve">. </w:t>
      </w:r>
    </w:p>
    <w:p w14:paraId="2EDDB171" w14:textId="77777777" w:rsidR="00A95F3E" w:rsidRPr="00A27113" w:rsidRDefault="00A95F3E" w:rsidP="0081571C">
      <w:r w:rsidRPr="00A27113">
        <w:t>La Courbe de Charge est également transmise au Fournisseur sous réserve que le Fournisseur:</w:t>
      </w:r>
    </w:p>
    <w:p w14:paraId="09ED0C61" w14:textId="77777777" w:rsidR="00A95F3E" w:rsidRPr="00A27113" w:rsidRDefault="00A95F3E" w:rsidP="0081571C">
      <w:pPr>
        <w:pStyle w:val="SPuce"/>
      </w:pPr>
      <w:r w:rsidRPr="00A27113">
        <w:t xml:space="preserve">respecte les conditions décrites dans l’article </w:t>
      </w:r>
      <w:r>
        <w:t>3.3</w:t>
      </w:r>
      <w:r w:rsidRPr="00A27113">
        <w:t xml:space="preserve"> ; </w:t>
      </w:r>
    </w:p>
    <w:p w14:paraId="66008DEC" w14:textId="77777777" w:rsidR="00A95F3E" w:rsidRPr="00A27113" w:rsidRDefault="00A95F3E" w:rsidP="0081571C">
      <w:pPr>
        <w:pStyle w:val="SPuce"/>
      </w:pPr>
      <w:r w:rsidRPr="00A27113">
        <w:t xml:space="preserve">souscrive la prestation d’activation de la Courbe de Charge selon les modalités définies dans le Catalogue des prestations </w:t>
      </w:r>
      <w:r>
        <w:t>du GRD</w:t>
      </w:r>
      <w:r w:rsidRPr="00A27113">
        <w:t xml:space="preserve"> en vigueur. </w:t>
      </w:r>
    </w:p>
    <w:p w14:paraId="3E5188C7" w14:textId="77777777" w:rsidR="00A95F3E" w:rsidRPr="00A27113" w:rsidRDefault="00A95F3E" w:rsidP="0081571C">
      <w:pPr>
        <w:pStyle w:val="STitre3"/>
      </w:pPr>
      <w:bookmarkStart w:id="34" w:name="_Toc77686043"/>
      <w:r w:rsidRPr="00A27113">
        <w:t>Prestations de comptage de base</w:t>
      </w:r>
      <w:bookmarkEnd w:id="34"/>
    </w:p>
    <w:p w14:paraId="58F8FF4D" w14:textId="77777777" w:rsidR="00A95F3E" w:rsidRPr="00A27113" w:rsidRDefault="00A95F3E" w:rsidP="0081571C">
      <w:r>
        <w:t>Le GRD</w:t>
      </w:r>
      <w:r w:rsidRPr="00A27113">
        <w:t xml:space="preserve"> effectue une prestation de contrôle, de relevé, de mise à disposition de données, de Reconstitution des flux et,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w:t>
      </w:r>
    </w:p>
    <w:p w14:paraId="636711F9" w14:textId="77777777" w:rsidR="00A95F3E" w:rsidRPr="00A27113" w:rsidRDefault="00A95F3E" w:rsidP="0081571C">
      <w:r>
        <w:t>Le GRD</w:t>
      </w:r>
      <w:r w:rsidRPr="00A27113">
        <w:t xml:space="preserve"> transmet une fois par bimestre au Fournisseur les données de comptage, sous la forme des valeurs d’énergie active calculées par différences d’index.</w:t>
      </w:r>
    </w:p>
    <w:p w14:paraId="042977F8" w14:textId="77777777" w:rsidR="00A95F3E" w:rsidRPr="00A27113" w:rsidRDefault="00A95F3E" w:rsidP="0081571C">
      <w:r w:rsidRPr="00A27113">
        <w:t xml:space="preserve">Lorsque le Client dispose d’un Compteur Communicant, </w:t>
      </w:r>
      <w:r>
        <w:t>le GRD</w:t>
      </w:r>
      <w:r w:rsidRPr="00A27113">
        <w:t xml:space="preserve"> transmet mensuellement</w:t>
      </w:r>
      <w:r>
        <w:rPr>
          <w:b/>
          <w:color w:val="FF0000"/>
        </w:rPr>
        <w:t xml:space="preserve"> </w:t>
      </w:r>
      <w:r w:rsidRPr="00A27113">
        <w:t>au Fournisseur les données de comptage.</w:t>
      </w:r>
    </w:p>
    <w:p w14:paraId="45EC17E5" w14:textId="77777777" w:rsidR="00A95F3E" w:rsidRPr="00A27113" w:rsidRDefault="00A95F3E" w:rsidP="0081571C">
      <w:r w:rsidRPr="00A27113">
        <w:t>Dans tous les cas visés au présent article, l’utilisation et la diffusion des informations correspondantes sont sous la responsabilité du Fournisseur.</w:t>
      </w:r>
    </w:p>
    <w:p w14:paraId="0D5D8BE1" w14:textId="77777777" w:rsidR="00A95F3E" w:rsidRPr="00A27113" w:rsidRDefault="00A95F3E" w:rsidP="0081571C">
      <w:pPr>
        <w:pStyle w:val="Titre3"/>
      </w:pPr>
      <w:bookmarkStart w:id="35" w:name="_Toc77686044"/>
      <w:r w:rsidRPr="00A27113">
        <w:t>Prestations de comptage complémentaires</w:t>
      </w:r>
      <w:bookmarkEnd w:id="35"/>
    </w:p>
    <w:p w14:paraId="58CBE87D" w14:textId="77777777" w:rsidR="00A95F3E" w:rsidRPr="00A27113" w:rsidRDefault="00A95F3E" w:rsidP="0081571C">
      <w:r w:rsidRPr="00A27113">
        <w:t xml:space="preserve">Outre les prestations de comptage de base décrites à l'article précédent, le Fournisseur peut, s'il le souhaite, demander une ou des prestation(s) complémentaire(s) de comptage. Ces prestations complémentaires de comptage sont présentées dans le Catalogue des prestations </w:t>
      </w:r>
      <w:r>
        <w:t>du GRD</w:t>
      </w:r>
      <w:r w:rsidRPr="00A27113">
        <w:t xml:space="preserve"> en vigueur.</w:t>
      </w:r>
    </w:p>
    <w:p w14:paraId="21A2F4A1" w14:textId="77777777" w:rsidR="00A95F3E" w:rsidRPr="00A27113" w:rsidRDefault="00A95F3E" w:rsidP="0081571C">
      <w:pPr>
        <w:pStyle w:val="Titre3"/>
      </w:pPr>
      <w:bookmarkStart w:id="36" w:name="_Toc77686045"/>
      <w:r w:rsidRPr="00A27113">
        <w:t>Modalités de correction en cas de défaillance du Dispositif de comptage ou de fraude</w:t>
      </w:r>
      <w:bookmarkEnd w:id="36"/>
    </w:p>
    <w:p w14:paraId="038F8994" w14:textId="77777777" w:rsidR="00A95F3E" w:rsidRPr="00A27113" w:rsidRDefault="00A95F3E" w:rsidP="0081571C">
      <w:r w:rsidRPr="00A27113">
        <w:t xml:space="preserve">En cas d'arrêt ou de fonctionnement défectueux du Dispositif de comptage ayant une incidence sur l’enregistrement des consommations, ou de fraude, </w:t>
      </w:r>
      <w:r>
        <w:t>le GRD</w:t>
      </w:r>
      <w:r w:rsidRPr="00A27113">
        <w:t xml:space="preserve"> informe le Client de l’évaluation des consommations à rectifier. Cette évaluation est faite par comparaison avec des périodes similaires de consommation, du PDL concerné ou à défaut avec celles de PDL présentant des caractéristiques de consommation comparables conformément aux modalités décrites dans les </w:t>
      </w:r>
      <w:r>
        <w:t>R</w:t>
      </w:r>
      <w:r w:rsidRPr="00A27113">
        <w:t xml:space="preserve">éférentiels </w:t>
      </w:r>
      <w:r>
        <w:t>du GRD</w:t>
      </w:r>
      <w:r w:rsidRPr="00A27113">
        <w:t xml:space="preserve">. </w:t>
      </w:r>
      <w:r>
        <w:t>Le GRD</w:t>
      </w:r>
      <w:r w:rsidRPr="00A27113">
        <w:t xml:space="preserve"> peut modifier cette évaluation sur la base d’éléments circonstanciés communiqués par le Client notamment les données délivrées par les dispositifs de comptage éventuellement installés par le Client sur ses installations conformément à l’article </w:t>
      </w:r>
      <w:r>
        <w:t>3.1.1.3</w:t>
      </w:r>
      <w:r w:rsidRPr="00A27113">
        <w:t xml:space="preserve"> des présentes dispositions générales. Sans réponse du Client à la proposition d’évaluation dans un délai de 30 jours calendaires, l’évaluation produite est considérée comme validée et </w:t>
      </w:r>
      <w:r>
        <w:t>le GRD</w:t>
      </w:r>
      <w:r w:rsidRPr="00A27113">
        <w:t xml:space="preserve"> procède à la rectification.</w:t>
      </w:r>
    </w:p>
    <w:p w14:paraId="349D9203" w14:textId="77777777" w:rsidR="00A95F3E" w:rsidRPr="00A27113" w:rsidRDefault="00A95F3E" w:rsidP="0081571C">
      <w:r w:rsidRPr="00A27113">
        <w:t xml:space="preserve">Les données corrigées constituent alors les données de comptage d’énergie active soutirée par le Point de Livraison faisant foi pour l'élaboration de la facture adressée par </w:t>
      </w:r>
      <w:r>
        <w:t>le GRD</w:t>
      </w:r>
      <w:r w:rsidRPr="00A27113">
        <w:t xml:space="preserve"> au Fournisseur.</w:t>
      </w:r>
    </w:p>
    <w:p w14:paraId="1BF74D1E" w14:textId="77777777" w:rsidR="00A95F3E" w:rsidRPr="00A27113" w:rsidRDefault="00A95F3E" w:rsidP="0081571C">
      <w:pPr>
        <w:pStyle w:val="Titre3"/>
      </w:pPr>
      <w:bookmarkStart w:id="37" w:name="_Toc77686046"/>
      <w:r w:rsidRPr="00A27113">
        <w:t>Contestation des données issues du Dispositif de comptage</w:t>
      </w:r>
      <w:bookmarkEnd w:id="37"/>
    </w:p>
    <w:p w14:paraId="79562B12" w14:textId="77777777" w:rsidR="00A95F3E" w:rsidRPr="00A27113" w:rsidRDefault="00A95F3E" w:rsidP="0081571C">
      <w:r w:rsidRPr="00A27113">
        <w:t xml:space="preserve">Le Fournisseur, ainsi que le Client par l'intermédiaire de son Fournisseur peut contester les données de comptage ainsi que les données de comptage corrigées dans les conditions définies à l’article </w:t>
      </w:r>
      <w:r>
        <w:t>9.1.2</w:t>
      </w:r>
      <w:r w:rsidRPr="00A27113">
        <w:t xml:space="preserve"> des présentes dispositions générales.</w:t>
      </w:r>
    </w:p>
    <w:p w14:paraId="79BF5410" w14:textId="77777777" w:rsidR="00A95F3E" w:rsidRPr="00A27113" w:rsidRDefault="00A95F3E" w:rsidP="0081571C">
      <w:pPr>
        <w:pStyle w:val="Titre2"/>
      </w:pPr>
      <w:bookmarkStart w:id="38" w:name="_Toc77686047"/>
      <w:r w:rsidRPr="00A27113">
        <w:t>Accès aux données de comptage</w:t>
      </w:r>
      <w:bookmarkEnd w:id="38"/>
    </w:p>
    <w:p w14:paraId="3C08D3D6" w14:textId="77777777" w:rsidR="00A95F3E" w:rsidRPr="00A27113" w:rsidRDefault="00A95F3E" w:rsidP="0081571C">
      <w:r w:rsidRPr="00A27113">
        <w:t xml:space="preserve">Conformément à l’article R341-5 du code de l’énergie, le Client a la libre disposition des données relatives à sa consommation enregistrées par le Dispositif de comptage. En conséquence, il peut accéder à l’ensemble des données de comptage, selon les modalités du Catalogue des prestations et des </w:t>
      </w:r>
      <w:r>
        <w:t>R</w:t>
      </w:r>
      <w:r w:rsidRPr="00A27113">
        <w:t xml:space="preserve">éférentiels </w:t>
      </w:r>
      <w:r>
        <w:t>du GRD</w:t>
      </w:r>
      <w:r w:rsidRPr="00A27113">
        <w:t>.</w:t>
      </w:r>
    </w:p>
    <w:p w14:paraId="39B3937B" w14:textId="77777777" w:rsidR="00A95F3E" w:rsidRPr="00A27113" w:rsidRDefault="00A95F3E" w:rsidP="0081571C">
      <w:r>
        <w:t>Le GRD</w:t>
      </w:r>
      <w:r w:rsidRPr="00A27113">
        <w:t>, afin d'exécuter son obligation de comptage définie à l'article L322-8 du code de l’énergie, accède à l’ensemble des informations délivrées par le Dispositif de comptage du Site sous réserve des conditions précitées ci-dessous.</w:t>
      </w:r>
    </w:p>
    <w:p w14:paraId="392DAE40" w14:textId="77777777" w:rsidR="00A95F3E" w:rsidRPr="00A27113" w:rsidRDefault="00A95F3E" w:rsidP="0081571C">
      <w:r w:rsidRPr="00A27113">
        <w:t xml:space="preserve">Pour l’exécution du Contrat Unique, le Client autorise </w:t>
      </w:r>
      <w:r>
        <w:t>le GRD</w:t>
      </w:r>
      <w:r w:rsidRPr="00A27113">
        <w:t xml:space="preserve"> en application de l’article R111-27 alinéa 2</w:t>
      </w:r>
      <w:r>
        <w:t xml:space="preserve"> du code de l’énergie, autorise</w:t>
      </w:r>
      <w:r w:rsidRPr="00A27113">
        <w:t xml:space="preserve"> à communiquer les données de comptage du Client au Fournisseur.</w:t>
      </w:r>
    </w:p>
    <w:p w14:paraId="28829B8D" w14:textId="77777777" w:rsidR="00A95F3E" w:rsidRPr="00A27113" w:rsidRDefault="00A95F3E" w:rsidP="0081571C">
      <w:r w:rsidRPr="00A27113">
        <w:t>Le Client ne peut remettre en cause cette désignation.</w:t>
      </w:r>
    </w:p>
    <w:p w14:paraId="359642F2" w14:textId="77777777" w:rsidR="00A95F3E" w:rsidRPr="00A27113" w:rsidRDefault="00A95F3E" w:rsidP="0081571C">
      <w:r w:rsidRPr="00A27113">
        <w:t xml:space="preserve">Quel que soit le Dispositif de comptage, </w:t>
      </w:r>
      <w:r>
        <w:t>le GRD</w:t>
      </w:r>
      <w:r w:rsidRPr="00A27113">
        <w:t xml:space="preserve"> garantit l’accès du Client à l’historique disponible de ses données de consommation, conformément aux modalités définies par </w:t>
      </w:r>
      <w:r>
        <w:t>le GRD</w:t>
      </w:r>
      <w:r w:rsidRPr="00A27113">
        <w:t xml:space="preserve"> sur son </w:t>
      </w:r>
      <w:r>
        <w:t>S</w:t>
      </w:r>
      <w:r w:rsidRPr="00A27113">
        <w:t>ite</w:t>
      </w:r>
      <w:r>
        <w:t xml:space="preserve"> Internet </w:t>
      </w:r>
      <w:r>
        <w:rPr>
          <w:noProof/>
        </w:rPr>
        <w:t>ree-elbeuf.com</w:t>
      </w:r>
      <w:r>
        <w:t xml:space="preserve"> .</w:t>
      </w:r>
      <w:r w:rsidRPr="00A27113">
        <w:t xml:space="preserve">Pour ce faire, le Client s’adresse, selon son choix, à un Fournisseur qu’il autorise, à un tiers qu’il autorise, ou directement </w:t>
      </w:r>
      <w:r>
        <w:t>au GRD</w:t>
      </w:r>
      <w:r w:rsidRPr="00A27113">
        <w:t>.</w:t>
      </w:r>
    </w:p>
    <w:p w14:paraId="609305C5" w14:textId="77777777" w:rsidR="00A95F3E" w:rsidRPr="00A27113" w:rsidRDefault="00A95F3E" w:rsidP="0081571C">
      <w:pPr>
        <w:spacing w:after="0"/>
      </w:pPr>
      <w:r w:rsidRPr="00A27113">
        <w:t xml:space="preserve">L’accès aux Données Brutes est possible par lecture des cadrans et, le cas échéant, par l’exploitation d’une sortie numérique locale. </w:t>
      </w:r>
      <w:r>
        <w:t>Le GRD</w:t>
      </w:r>
      <w:r w:rsidRPr="00A27113">
        <w:t xml:space="preserve"> publie sur son </w:t>
      </w:r>
      <w:r>
        <w:t>S</w:t>
      </w:r>
      <w:r w:rsidRPr="00A27113">
        <w:t xml:space="preserve">ite </w:t>
      </w:r>
      <w:r>
        <w:t xml:space="preserve">Internet </w:t>
      </w:r>
      <w:r>
        <w:rPr>
          <w:noProof/>
        </w:rPr>
        <w:t>ree-elbeuf.com</w:t>
      </w:r>
      <w:r>
        <w:t xml:space="preserve"> </w:t>
      </w:r>
      <w:r w:rsidRPr="00A27113">
        <w:t xml:space="preserve">les informations nécessaires à l’exploitation de cette sortie numérique. En cas de modification du Dispositif de comptage, </w:t>
      </w:r>
      <w:r>
        <w:t>le GRD</w:t>
      </w:r>
      <w:r w:rsidRPr="00A27113">
        <w:t xml:space="preserve"> peut être amené à modifier les conditions d'accès aux données (protocole, format,</w:t>
      </w:r>
      <w:r>
        <w:t xml:space="preserve"> </w:t>
      </w:r>
      <w:r w:rsidRPr="00A27113">
        <w:t xml:space="preserve">…). Dans ce cas, </w:t>
      </w:r>
      <w:r>
        <w:t>le GRD</w:t>
      </w:r>
      <w:r w:rsidRPr="00A27113">
        <w:t xml:space="preserve"> en informe préalablement le Client et le Fournisseur. Le Client ou la personne qu’il a autorisée à accéder aux données du Compteur doit prendre à sa charge les éventuelles évolutions permettant d’assurer le fonctionnement de son système d’accès à ces données.</w:t>
      </w:r>
    </w:p>
    <w:p w14:paraId="035137D4" w14:textId="77777777" w:rsidR="00A95F3E" w:rsidRPr="00A27113" w:rsidRDefault="00A95F3E" w:rsidP="0081571C">
      <w:pPr>
        <w:pStyle w:val="Normal1"/>
        <w:spacing w:before="0" w:after="0"/>
        <w:rPr>
          <w:sz w:val="18"/>
        </w:rPr>
      </w:pPr>
      <w:r w:rsidRPr="00A27113">
        <w:rPr>
          <w:sz w:val="18"/>
        </w:rPr>
        <w:t xml:space="preserve"> </w:t>
      </w:r>
    </w:p>
    <w:p w14:paraId="5DD76AA6" w14:textId="77777777" w:rsidR="00A95F3E" w:rsidRPr="00A27113" w:rsidRDefault="00A95F3E" w:rsidP="0081571C">
      <w:pPr>
        <w:spacing w:before="0"/>
      </w:pPr>
      <w:r w:rsidRPr="00A27113">
        <w:t xml:space="preserve"> </w:t>
      </w:r>
      <w:r w:rsidRPr="00A27113">
        <w:rPr>
          <w:u w:val="single"/>
        </w:rPr>
        <w:t>Accès aux données de comptage d’un Compteur Communicant</w:t>
      </w:r>
      <w:r w:rsidRPr="00A27113">
        <w:t xml:space="preserve"> :</w:t>
      </w:r>
    </w:p>
    <w:p w14:paraId="2C2349B6" w14:textId="77777777" w:rsidR="00A95F3E" w:rsidRPr="00A27113" w:rsidRDefault="00A95F3E" w:rsidP="0081571C">
      <w:r w:rsidRPr="00A27113">
        <w:t xml:space="preserve"> Conformément à la loi n°78-17 du 6 janvier 1978 dite « Informatique et Libertés »</w:t>
      </w:r>
      <w:r w:rsidRPr="00397B1E">
        <w:t xml:space="preserve"> </w:t>
      </w:r>
      <w:r w:rsidRPr="00482CE8">
        <w:t xml:space="preserve">et </w:t>
      </w:r>
      <w:r>
        <w:t>au RGPD</w:t>
      </w:r>
      <w:r w:rsidRPr="00A27113">
        <w:t xml:space="preserve">, la transmission par </w:t>
      </w:r>
      <w:r>
        <w:t>le GRD</w:t>
      </w:r>
      <w:r w:rsidRPr="00A27113">
        <w:t xml:space="preserve"> au Fournisseur de la Courbe de Charge du Client nécessite le consentement libre, éclairé</w:t>
      </w:r>
      <w:r>
        <w:t>,</w:t>
      </w:r>
      <w:r w:rsidRPr="00A27113">
        <w:t xml:space="preserve"> spécifique </w:t>
      </w:r>
      <w:r>
        <w:t xml:space="preserve">et univoque </w:t>
      </w:r>
      <w:r w:rsidRPr="00A27113">
        <w:t>du Client portant sur les points suivants:</w:t>
      </w:r>
    </w:p>
    <w:p w14:paraId="60CF88B5" w14:textId="77777777" w:rsidR="00A95F3E" w:rsidRDefault="00A95F3E" w:rsidP="0081571C">
      <w:pPr>
        <w:pStyle w:val="SPuce"/>
      </w:pPr>
      <w:r w:rsidRPr="00A27113">
        <w:t xml:space="preserve">pour la collecte et la transmission de la Courbe de Charge par </w:t>
      </w:r>
      <w:r>
        <w:t>le GRD</w:t>
      </w:r>
      <w:r w:rsidRPr="00A27113">
        <w:t xml:space="preserve"> au Fournisseur. Ce consentement peut être formulé soit directement </w:t>
      </w:r>
      <w:r>
        <w:t>au GRD</w:t>
      </w:r>
      <w:r w:rsidRPr="00A27113">
        <w:t xml:space="preserve">, soit via le Fournisseur.  Dans ce dernier cas, le Fournisseur s’engage à recueillir le consentement préalable du Client et doit pouvoir justifier </w:t>
      </w:r>
      <w:r>
        <w:t>au GRD</w:t>
      </w:r>
      <w:r w:rsidRPr="00A27113">
        <w:t xml:space="preserve"> de cette acceptation du Client, sur simple demande </w:t>
      </w:r>
      <w:r>
        <w:t>du GRD</w:t>
      </w:r>
    </w:p>
    <w:p w14:paraId="14BC6D6F" w14:textId="77777777" w:rsidR="00A95F3E" w:rsidRPr="00F87B44" w:rsidRDefault="00A95F3E" w:rsidP="00FD151F">
      <w:pPr>
        <w:pStyle w:val="SPuce"/>
        <w:numPr>
          <w:ilvl w:val="0"/>
          <w:numId w:val="0"/>
        </w:numPr>
        <w:ind w:left="720"/>
      </w:pPr>
      <w:r>
        <w:t xml:space="preserve">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 </w:t>
      </w:r>
    </w:p>
    <w:p w14:paraId="1BBF0176" w14:textId="77777777" w:rsidR="00A95F3E" w:rsidRPr="00A27113" w:rsidRDefault="00A95F3E" w:rsidP="0081571C">
      <w:pPr>
        <w:pStyle w:val="SPuce"/>
      </w:pPr>
      <w:r w:rsidRPr="00A27113">
        <w:t>pour le traitement de la Courbe de Charge par le Fournisseur.</w:t>
      </w:r>
    </w:p>
    <w:p w14:paraId="09A7BFF2" w14:textId="77777777" w:rsidR="00A95F3E" w:rsidRPr="00A27113" w:rsidRDefault="00A95F3E" w:rsidP="0081571C">
      <w:r w:rsidRPr="00A27113">
        <w:t xml:space="preserve">Le Client peut également autoriser </w:t>
      </w:r>
      <w:r>
        <w:t>le GRD</w:t>
      </w:r>
      <w:r w:rsidRPr="00A27113">
        <w:t xml:space="preserve"> à collecter et transmettre la Courbe de Charge à un tiers dans les conditions définies dans le présent article ainsi que dans les </w:t>
      </w:r>
      <w:r>
        <w:t>Référentiel</w:t>
      </w:r>
      <w:r w:rsidRPr="00A27113">
        <w:t xml:space="preserve">s </w:t>
      </w:r>
      <w:r>
        <w:t>du GRD</w:t>
      </w:r>
      <w:r w:rsidRPr="00A27113">
        <w:t xml:space="preserve"> disponibles sur le </w:t>
      </w:r>
      <w:r>
        <w:t>Site internet</w:t>
      </w:r>
      <w:r w:rsidRPr="00A27113">
        <w:t xml:space="preserve"> </w:t>
      </w:r>
      <w:r>
        <w:t>du GRD</w:t>
      </w:r>
      <w:r w:rsidRPr="00A27113">
        <w:t>.</w:t>
      </w:r>
    </w:p>
    <w:p w14:paraId="037B639C" w14:textId="77777777" w:rsidR="00A95F3E" w:rsidRPr="00A27113" w:rsidRDefault="00A95F3E" w:rsidP="0081571C">
      <w:pPr>
        <w:pStyle w:val="Titre2"/>
      </w:pPr>
      <w:bookmarkStart w:id="39" w:name="_Toc77686048"/>
      <w:r w:rsidRPr="00A27113">
        <w:t>Points de Livraison sans Comptage</w:t>
      </w:r>
      <w:bookmarkEnd w:id="39"/>
    </w:p>
    <w:p w14:paraId="2FA91018" w14:textId="77777777" w:rsidR="00A95F3E" w:rsidRPr="00A27113" w:rsidRDefault="00A95F3E" w:rsidP="0081571C">
      <w:r w:rsidRPr="00A27113">
        <w:t xml:space="preserve">L’absence de dispositif de comptage complet, c'est-à-dire comprenant au moins un compteur et un disjoncteur, (compteur + disjoncteur) est exceptionnellement autorisée dans les cas décrits à l'article </w:t>
      </w:r>
      <w:r>
        <w:t>4.4</w:t>
      </w:r>
      <w:r w:rsidRPr="00A27113">
        <w:t xml:space="preserve"> des présentes dispositions générales.</w:t>
      </w:r>
    </w:p>
    <w:p w14:paraId="03DB39F2" w14:textId="77777777" w:rsidR="00A95F3E" w:rsidRPr="00A27113" w:rsidRDefault="00A95F3E" w:rsidP="0081571C">
      <w:r w:rsidRPr="00A27113">
        <w:t>Ces Points de Livraison ne peuvent exister que dans le cadre de la formule tarifaire « longue utilisation ».</w:t>
      </w:r>
    </w:p>
    <w:p w14:paraId="0C4AA87F" w14:textId="77777777" w:rsidR="00A95F3E" w:rsidRPr="00A27113" w:rsidRDefault="00A95F3E" w:rsidP="0081571C">
      <w:r w:rsidRPr="00A27113">
        <w:t xml:space="preserve">Les modalités concernant les Points de Livraison sans dispositif de comptage complet font l’objet de notes publiées sur le site Internet </w:t>
      </w:r>
      <w:r>
        <w:t>du GRD</w:t>
      </w:r>
      <w:r w:rsidRPr="00A27113">
        <w:t>. Ces notes précisent, notamment concernant :</w:t>
      </w:r>
    </w:p>
    <w:p w14:paraId="272ED0BA" w14:textId="77777777" w:rsidR="00A95F3E" w:rsidRPr="00A27113" w:rsidRDefault="00A95F3E" w:rsidP="0081571C">
      <w:pPr>
        <w:pStyle w:val="SPuce"/>
      </w:pPr>
      <w:r w:rsidRPr="00A27113">
        <w:t>les conditions et les modalités de réalisation de nouveaux Points de Livraison sans dispositif de comptage complet ;</w:t>
      </w:r>
    </w:p>
    <w:p w14:paraId="4A0A3913" w14:textId="77777777" w:rsidR="00A95F3E" w:rsidRPr="00A27113" w:rsidRDefault="00A95F3E" w:rsidP="0081571C">
      <w:pPr>
        <w:pStyle w:val="SPuce"/>
      </w:pPr>
      <w:r w:rsidRPr="00A27113">
        <w:t>les modes de facturation des Points de Livraison sans dispositif de comptage complet au regard des règles du TURPE.</w:t>
      </w:r>
    </w:p>
    <w:p w14:paraId="053C6F03" w14:textId="77777777" w:rsidR="00A95F3E" w:rsidRPr="00A27113" w:rsidRDefault="00A95F3E" w:rsidP="0081571C">
      <w:pPr>
        <w:pStyle w:val="Titre1"/>
      </w:pPr>
      <w:bookmarkStart w:id="40" w:name="_Toc77686049"/>
      <w:r w:rsidRPr="00A27113">
        <w:t>Puissance Souscrite</w:t>
      </w:r>
      <w:bookmarkEnd w:id="40"/>
    </w:p>
    <w:p w14:paraId="7A7B8926" w14:textId="77777777" w:rsidR="00A95F3E" w:rsidRPr="00A27113" w:rsidRDefault="00A95F3E" w:rsidP="0081571C">
      <w:pPr>
        <w:pStyle w:val="STitre2"/>
      </w:pPr>
      <w:bookmarkStart w:id="41" w:name="_Toc77686050"/>
      <w:r w:rsidRPr="00A27113">
        <w:t>Choix de la Puissance Souscrite</w:t>
      </w:r>
      <w:bookmarkEnd w:id="41"/>
      <w:r w:rsidRPr="00A27113">
        <w:t xml:space="preserve"> </w:t>
      </w:r>
    </w:p>
    <w:p w14:paraId="70496672" w14:textId="77777777" w:rsidR="00A95F3E" w:rsidRPr="00A27113" w:rsidRDefault="00A95F3E" w:rsidP="0081571C">
      <w:r w:rsidRPr="00A27113">
        <w:t>La Puissance Souscrite est la puissance que le Client prévoit d'appeler au Point de Livraison pendant les douze mois qui suivent sa souscription, quel que soit son Fournisseur.</w:t>
      </w:r>
    </w:p>
    <w:p w14:paraId="4AEC1621" w14:textId="77777777" w:rsidR="00A95F3E" w:rsidRPr="00A27113" w:rsidRDefault="00A95F3E" w:rsidP="0081571C">
      <w:r w:rsidRPr="00A27113">
        <w:t xml:space="preserve">Après avoir reçu </w:t>
      </w:r>
      <w:r>
        <w:t>du GRD</w:t>
      </w:r>
      <w:r w:rsidRPr="00A27113">
        <w:t xml:space="preserve"> et du Client toutes les informations, le Fournisseur souscrit la puissance pour le Point de Livraison compatible avec les modalités prévues au chapitre </w:t>
      </w:r>
      <w:r>
        <w:t>2</w:t>
      </w:r>
      <w:r w:rsidRPr="00A27113">
        <w:t xml:space="preserve"> « Raccordement » et dans le respect des règles ci-après.</w:t>
      </w:r>
    </w:p>
    <w:p w14:paraId="5E19CD6C" w14:textId="77777777" w:rsidR="00A95F3E" w:rsidRPr="00A27113" w:rsidRDefault="00A95F3E" w:rsidP="0077150C">
      <w:pPr>
        <w:pStyle w:val="Normal1"/>
        <w:spacing w:before="0" w:after="0"/>
        <w:rPr>
          <w:sz w:val="18"/>
        </w:rPr>
      </w:pPr>
    </w:p>
    <w:p w14:paraId="1EEA957B" w14:textId="77777777" w:rsidR="00A95F3E" w:rsidRPr="00A27113" w:rsidRDefault="00A95F3E" w:rsidP="0081571C">
      <w:r w:rsidRPr="00A27113">
        <w:t xml:space="preserve">Pour chaque Point de Livraison alimenté en BT avec Puissance Souscrite inférieure ou égale à 36 kVA, le Fournisseur choisit un seul niveau de puissance par Point de Livraison, quelle que soit la formule tarifaire d’acheminement choisie. </w:t>
      </w:r>
    </w:p>
    <w:p w14:paraId="28756315" w14:textId="77777777" w:rsidR="00A95F3E" w:rsidRPr="00A27113" w:rsidRDefault="00A95F3E" w:rsidP="0081571C">
      <w:r w:rsidRPr="00A27113">
        <w:t>Dans le cas où le Client dispose d’un Compteur Communiquant, le Fournisseur choisit une Puissance Souscrite par pas de 1 kVA jusqu’à 36 kVA.</w:t>
      </w:r>
    </w:p>
    <w:p w14:paraId="3A66D679" w14:textId="77777777" w:rsidR="00A95F3E" w:rsidRPr="00A27113" w:rsidRDefault="00A95F3E" w:rsidP="0081571C">
      <w:r w:rsidRPr="00A27113">
        <w:t xml:space="preserve">Dans le cas où le Client ne dispose pas d’un Compteur Communiquant, le Fournisseur choisit une Puissance Souscrite qui correspond à une valeur contrôlable par le Dispositif de comptage et de contrôle. </w:t>
      </w:r>
    </w:p>
    <w:p w14:paraId="163EC27E" w14:textId="77777777" w:rsidR="00A95F3E" w:rsidRPr="00A27113" w:rsidRDefault="00A95F3E" w:rsidP="0081571C">
      <w:r w:rsidRPr="00A27113">
        <w:t>Les Dispositifs de comptage et de contrôle disponibles permettent les souscriptions de puissance pour les valeurs suivantes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
        <w:gridCol w:w="594"/>
        <w:gridCol w:w="594"/>
        <w:gridCol w:w="594"/>
        <w:gridCol w:w="594"/>
        <w:gridCol w:w="594"/>
        <w:gridCol w:w="594"/>
        <w:gridCol w:w="594"/>
        <w:gridCol w:w="595"/>
        <w:gridCol w:w="595"/>
      </w:tblGrid>
      <w:tr w:rsidR="00A95F3E" w:rsidRPr="00A27113" w14:paraId="797F1A6F" w14:textId="77777777" w:rsidTr="0081571C">
        <w:trPr>
          <w:trHeight w:val="397"/>
          <w:jc w:val="center"/>
        </w:trPr>
        <w:tc>
          <w:tcPr>
            <w:tcW w:w="594" w:type="dxa"/>
            <w:vAlign w:val="center"/>
          </w:tcPr>
          <w:p w14:paraId="00B809C9" w14:textId="77777777" w:rsidR="00A95F3E" w:rsidRPr="00A27113" w:rsidRDefault="00A95F3E" w:rsidP="005657EB">
            <w:pPr>
              <w:keepNext/>
              <w:ind w:hanging="105"/>
              <w:jc w:val="center"/>
              <w:rPr>
                <w:rFonts w:cs="Arial"/>
              </w:rPr>
            </w:pPr>
            <w:r w:rsidRPr="00A27113">
              <w:rPr>
                <w:rFonts w:cs="Arial"/>
              </w:rPr>
              <w:t>kVA</w:t>
            </w:r>
          </w:p>
        </w:tc>
        <w:tc>
          <w:tcPr>
            <w:tcW w:w="594" w:type="dxa"/>
            <w:vAlign w:val="center"/>
          </w:tcPr>
          <w:p w14:paraId="2F5C055D" w14:textId="77777777" w:rsidR="00A95F3E" w:rsidRPr="00A27113" w:rsidRDefault="00A95F3E" w:rsidP="005657EB">
            <w:pPr>
              <w:keepNext/>
              <w:ind w:hanging="105"/>
              <w:jc w:val="center"/>
              <w:rPr>
                <w:rFonts w:cs="Arial"/>
              </w:rPr>
            </w:pPr>
            <w:r w:rsidRPr="00A27113">
              <w:rPr>
                <w:rFonts w:cs="Arial"/>
              </w:rPr>
              <w:t>3</w:t>
            </w:r>
          </w:p>
        </w:tc>
        <w:tc>
          <w:tcPr>
            <w:tcW w:w="594" w:type="dxa"/>
            <w:vAlign w:val="center"/>
          </w:tcPr>
          <w:p w14:paraId="7846941A" w14:textId="77777777" w:rsidR="00A95F3E" w:rsidRPr="00A27113" w:rsidRDefault="00A95F3E" w:rsidP="005657EB">
            <w:pPr>
              <w:keepNext/>
              <w:ind w:hanging="105"/>
              <w:jc w:val="center"/>
              <w:rPr>
                <w:rFonts w:cs="Arial"/>
              </w:rPr>
            </w:pPr>
            <w:r w:rsidRPr="00A27113">
              <w:rPr>
                <w:rFonts w:cs="Arial"/>
              </w:rPr>
              <w:t>6</w:t>
            </w:r>
          </w:p>
        </w:tc>
        <w:tc>
          <w:tcPr>
            <w:tcW w:w="594" w:type="dxa"/>
            <w:vAlign w:val="center"/>
          </w:tcPr>
          <w:p w14:paraId="46ACB48D" w14:textId="77777777" w:rsidR="00A95F3E" w:rsidRPr="00A27113" w:rsidRDefault="00A95F3E" w:rsidP="005657EB">
            <w:pPr>
              <w:keepNext/>
              <w:ind w:hanging="105"/>
              <w:jc w:val="center"/>
              <w:rPr>
                <w:rFonts w:cs="Arial"/>
              </w:rPr>
            </w:pPr>
            <w:r w:rsidRPr="00A27113">
              <w:rPr>
                <w:rFonts w:cs="Arial"/>
              </w:rPr>
              <w:t>9</w:t>
            </w:r>
          </w:p>
        </w:tc>
        <w:tc>
          <w:tcPr>
            <w:tcW w:w="594" w:type="dxa"/>
            <w:vAlign w:val="center"/>
          </w:tcPr>
          <w:p w14:paraId="6A975445" w14:textId="77777777" w:rsidR="00A95F3E" w:rsidRPr="00A27113" w:rsidRDefault="00A95F3E" w:rsidP="005657EB">
            <w:pPr>
              <w:keepNext/>
              <w:ind w:hanging="105"/>
              <w:jc w:val="center"/>
              <w:rPr>
                <w:rFonts w:cs="Arial"/>
              </w:rPr>
            </w:pPr>
            <w:r w:rsidRPr="00A27113">
              <w:rPr>
                <w:rFonts w:cs="Arial"/>
              </w:rPr>
              <w:t>12</w:t>
            </w:r>
          </w:p>
        </w:tc>
        <w:tc>
          <w:tcPr>
            <w:tcW w:w="594" w:type="dxa"/>
            <w:vAlign w:val="center"/>
          </w:tcPr>
          <w:p w14:paraId="4A88CD1B" w14:textId="77777777" w:rsidR="00A95F3E" w:rsidRPr="00A27113" w:rsidRDefault="00A95F3E" w:rsidP="005657EB">
            <w:pPr>
              <w:keepNext/>
              <w:ind w:hanging="105"/>
              <w:jc w:val="center"/>
              <w:rPr>
                <w:rFonts w:cs="Arial"/>
              </w:rPr>
            </w:pPr>
            <w:r w:rsidRPr="00A27113">
              <w:rPr>
                <w:rFonts w:cs="Arial"/>
              </w:rPr>
              <w:t>15</w:t>
            </w:r>
          </w:p>
        </w:tc>
        <w:tc>
          <w:tcPr>
            <w:tcW w:w="594" w:type="dxa"/>
            <w:vAlign w:val="center"/>
          </w:tcPr>
          <w:p w14:paraId="7D31702D" w14:textId="77777777" w:rsidR="00A95F3E" w:rsidRPr="00A27113" w:rsidRDefault="00A95F3E" w:rsidP="005657EB">
            <w:pPr>
              <w:keepNext/>
              <w:ind w:hanging="105"/>
              <w:jc w:val="center"/>
              <w:rPr>
                <w:rFonts w:cs="Arial"/>
              </w:rPr>
            </w:pPr>
            <w:r w:rsidRPr="00A27113">
              <w:rPr>
                <w:rFonts w:cs="Arial"/>
              </w:rPr>
              <w:t>18</w:t>
            </w:r>
          </w:p>
        </w:tc>
        <w:tc>
          <w:tcPr>
            <w:tcW w:w="594" w:type="dxa"/>
            <w:vAlign w:val="center"/>
          </w:tcPr>
          <w:p w14:paraId="6CA979B6" w14:textId="77777777" w:rsidR="00A95F3E" w:rsidRPr="00A27113" w:rsidRDefault="00A95F3E" w:rsidP="005657EB">
            <w:pPr>
              <w:keepNext/>
              <w:ind w:hanging="105"/>
              <w:jc w:val="center"/>
              <w:rPr>
                <w:rFonts w:cs="Arial"/>
              </w:rPr>
            </w:pPr>
            <w:r w:rsidRPr="00A27113">
              <w:rPr>
                <w:rFonts w:cs="Arial"/>
              </w:rPr>
              <w:t>24</w:t>
            </w:r>
          </w:p>
        </w:tc>
        <w:tc>
          <w:tcPr>
            <w:tcW w:w="595" w:type="dxa"/>
            <w:vAlign w:val="center"/>
          </w:tcPr>
          <w:p w14:paraId="3CAF35A0" w14:textId="77777777" w:rsidR="00A95F3E" w:rsidRPr="00A27113" w:rsidRDefault="00A95F3E" w:rsidP="005657EB">
            <w:pPr>
              <w:keepNext/>
              <w:ind w:hanging="105"/>
              <w:jc w:val="center"/>
              <w:rPr>
                <w:rFonts w:cs="Arial"/>
              </w:rPr>
            </w:pPr>
            <w:r w:rsidRPr="00A27113">
              <w:rPr>
                <w:rFonts w:cs="Arial"/>
              </w:rPr>
              <w:t>30</w:t>
            </w:r>
          </w:p>
        </w:tc>
        <w:tc>
          <w:tcPr>
            <w:tcW w:w="595" w:type="dxa"/>
            <w:vAlign w:val="center"/>
          </w:tcPr>
          <w:p w14:paraId="28A9145E" w14:textId="77777777" w:rsidR="00A95F3E" w:rsidRPr="00A27113" w:rsidRDefault="00A95F3E" w:rsidP="005657EB">
            <w:pPr>
              <w:keepNext/>
              <w:ind w:hanging="105"/>
              <w:jc w:val="center"/>
              <w:rPr>
                <w:rFonts w:cs="Arial"/>
              </w:rPr>
            </w:pPr>
            <w:r w:rsidRPr="00A27113">
              <w:rPr>
                <w:rFonts w:cs="Arial"/>
              </w:rPr>
              <w:t>36</w:t>
            </w:r>
          </w:p>
        </w:tc>
      </w:tr>
    </w:tbl>
    <w:p w14:paraId="1C260EAF" w14:textId="77777777" w:rsidR="00A95F3E" w:rsidRPr="00A27113" w:rsidRDefault="00A95F3E" w:rsidP="0077150C">
      <w:pPr>
        <w:pStyle w:val="Normal1"/>
        <w:spacing w:before="0" w:after="0"/>
        <w:rPr>
          <w:sz w:val="18"/>
        </w:rPr>
      </w:pPr>
    </w:p>
    <w:p w14:paraId="7B0E1AE0" w14:textId="77777777" w:rsidR="00A95F3E" w:rsidRPr="00A27113" w:rsidRDefault="00A95F3E" w:rsidP="0081571C">
      <w:r w:rsidRPr="00A27113">
        <w:t>La Puissance Souscrite au titre de l’accès au RPD et la formule tarifaire d’acheminement choisies par le Fournisseur</w:t>
      </w:r>
      <w:r w:rsidRPr="00A27113">
        <w:rPr>
          <w:color w:val="3366FF"/>
        </w:rPr>
        <w:t xml:space="preserve"> </w:t>
      </w:r>
      <w:r w:rsidRPr="00A27113">
        <w:t>par Point de Livraison sont précisées dans le Contrat Unique relatif au Point de Livraison concerné. Dans le cas d’une formule tarifaire d’acheminement avec différenciation temporelle, les heures creuses sont précisées dans le Contrat Unique relatif au Point de Livraison concerné. Conformément au TURPE en vigueur, les heures réelles de début et de fin des périodes tarifaires peuvent s’écarter de quelques minutes des horaires théoriques des plages temporelles déterminées localement.</w:t>
      </w:r>
    </w:p>
    <w:p w14:paraId="6729F244" w14:textId="77777777" w:rsidR="00A95F3E" w:rsidRPr="00A27113" w:rsidRDefault="00A95F3E" w:rsidP="0081571C">
      <w:pPr>
        <w:pStyle w:val="Titre2"/>
      </w:pPr>
      <w:bookmarkStart w:id="42" w:name="_Toc77686051"/>
      <w:r w:rsidRPr="00A27113">
        <w:t>Modification de la Puissance Souscrite</w:t>
      </w:r>
      <w:bookmarkEnd w:id="42"/>
    </w:p>
    <w:p w14:paraId="4F401450" w14:textId="77777777" w:rsidR="00A95F3E" w:rsidRDefault="00A95F3E" w:rsidP="0081571C">
      <w:r w:rsidRPr="00A27113">
        <w:t>Le Fournisseur peut demander à modifier le niveau de puissance souscrit à tout moment</w:t>
      </w:r>
      <w:r>
        <w:t xml:space="preserve"> sous réserve du respect :</w:t>
      </w:r>
      <w:r w:rsidRPr="00A27113">
        <w:t xml:space="preserve"> </w:t>
      </w:r>
    </w:p>
    <w:p w14:paraId="68581355" w14:textId="77777777" w:rsidR="00A95F3E" w:rsidRDefault="00A95F3E" w:rsidP="00810F91">
      <w:pPr>
        <w:pStyle w:val="SPuce"/>
      </w:pPr>
      <w:r>
        <w:t>des dispositions du chapitre 2 « Raccordement » des présentes dispositions générales ;</w:t>
      </w:r>
    </w:p>
    <w:p w14:paraId="15EA8EA8" w14:textId="77777777" w:rsidR="00A95F3E" w:rsidRDefault="00A95F3E" w:rsidP="00810F91">
      <w:pPr>
        <w:pStyle w:val="SPuce"/>
      </w:pPr>
      <w:r>
        <w:t>des modalités exposées à l'article 4.3 des présentes dispositions générales ;</w:t>
      </w:r>
    </w:p>
    <w:p w14:paraId="626F7049" w14:textId="77777777" w:rsidR="00A95F3E" w:rsidRPr="00A27113" w:rsidRDefault="00A95F3E" w:rsidP="00810F91">
      <w:pPr>
        <w:pStyle w:val="SPuce"/>
      </w:pPr>
      <w:r>
        <w:t>de la gamme des niveaux de puissance définie à l’article 4.1 des présentes dispositions générales.</w:t>
      </w:r>
    </w:p>
    <w:p w14:paraId="683395A1" w14:textId="77777777" w:rsidR="00A95F3E" w:rsidRPr="00A27113" w:rsidRDefault="00A95F3E" w:rsidP="0081571C">
      <w:r w:rsidRPr="00A27113">
        <w:t xml:space="preserve">En cas de demande d’augmentation de la Puissance Souscrite au-delà de 12 kVA, la mise à disposition de la nouvelle puissance fait l’objet de la part </w:t>
      </w:r>
      <w:r>
        <w:t>du GRD</w:t>
      </w:r>
      <w:r w:rsidRPr="00A27113">
        <w:t xml:space="preserve"> d’une étude technique préalable et le cas échéant d’une facturation de prestation pour l’augmentation de la Puissance de Raccordement à 36 kVA, conformément aux dispositions du chapitre </w:t>
      </w:r>
      <w:r>
        <w:t>2</w:t>
      </w:r>
      <w:r w:rsidRPr="00A27113">
        <w:t xml:space="preserve">  « Raccordement » des présentes dispositions générales.</w:t>
      </w:r>
    </w:p>
    <w:p w14:paraId="1E003E06" w14:textId="77777777" w:rsidR="00A95F3E" w:rsidRPr="00A27113" w:rsidRDefault="00A95F3E" w:rsidP="0081571C">
      <w:pPr>
        <w:pStyle w:val="Titre3"/>
      </w:pPr>
      <w:bookmarkStart w:id="43" w:name="_Toc77686052"/>
      <w:r w:rsidRPr="00A27113">
        <w:t>Augmentation de la Puissance Souscrite</w:t>
      </w:r>
      <w:bookmarkEnd w:id="43"/>
    </w:p>
    <w:p w14:paraId="0A581B50" w14:textId="10ECDC82" w:rsidR="00A95F3E" w:rsidRDefault="00A95F3E" w:rsidP="0081571C">
      <w:r w:rsidRPr="00A27113">
        <w:t xml:space="preserve">Ces conditions sont cumulatives et le non-respect par le Fournisseur de l'une ou de plusieurs d'entre-elles entraîne le refus </w:t>
      </w:r>
      <w:r>
        <w:t>du GRD</w:t>
      </w:r>
      <w:r w:rsidRPr="00A27113">
        <w:t xml:space="preserve"> de faire droit à la demande d'augmentation</w:t>
      </w:r>
      <w:r w:rsidR="00512F5F">
        <w:t>.</w:t>
      </w:r>
    </w:p>
    <w:p w14:paraId="0F94D367" w14:textId="77777777" w:rsidR="00A95F3E" w:rsidRPr="00A27113" w:rsidRDefault="00A95F3E" w:rsidP="0081571C">
      <w:r w:rsidRPr="00A27113">
        <w:t>Lorsque la demande remplit les conditions sus-énoncées, l'augmentation de puissance entraîne une augmentation proportionnelle du montant mensuel facturé au titre de la puissance.</w:t>
      </w:r>
    </w:p>
    <w:p w14:paraId="5B7EC4B9" w14:textId="77777777" w:rsidR="00A95F3E" w:rsidRPr="00A27113" w:rsidRDefault="00A95F3E" w:rsidP="0081571C">
      <w:pPr>
        <w:rPr>
          <w:noProof/>
        </w:rPr>
      </w:pPr>
      <w:r w:rsidRPr="00A27113">
        <w:t>Compte tenu d</w:t>
      </w:r>
      <w:r>
        <w:t xml:space="preserve">’une durée minimale de souscription de douze mois consécutifs </w:t>
      </w:r>
      <w:r w:rsidRPr="00A27113">
        <w:t>de la Puissance Souscrite prévu par le TURPE, l’augmentation de la Puissance Souscrite demandée moins de douze mois après la date d’effet de la dernière diminution de la Puissance Souscrite, fait l’objet d’une tarification spéciale conformément à la délibération de la CRE portant décision en vigueur sur la tarification des prestations annexes réalisées à titre exclusif par les gestionnaires de réseaux de distribution d’électricité</w:t>
      </w:r>
      <w:r w:rsidRPr="00A27113">
        <w:rPr>
          <w:noProof/>
        </w:rPr>
        <w:t>.</w:t>
      </w:r>
    </w:p>
    <w:p w14:paraId="294DD0CA" w14:textId="77777777" w:rsidR="00A95F3E" w:rsidRPr="00A27113" w:rsidRDefault="00A95F3E" w:rsidP="0081571C">
      <w:r w:rsidRPr="00A27113">
        <w:rPr>
          <w:noProof/>
        </w:rPr>
        <w:t>L’augmentation de Puissance Souscrite demandée moins d’un an après la pose d’un Compteur Communicant n’est pas facturée, conformément à la délibération de la CRE en vigueur sur la tarification des prestations annexes.</w:t>
      </w:r>
    </w:p>
    <w:p w14:paraId="294F9838" w14:textId="77777777" w:rsidR="00A95F3E" w:rsidRPr="00A27113" w:rsidRDefault="00A95F3E" w:rsidP="0081571C">
      <w:pPr>
        <w:pStyle w:val="Titre3"/>
      </w:pPr>
      <w:bookmarkStart w:id="44" w:name="_Toc77686053"/>
      <w:r w:rsidRPr="00A27113">
        <w:t>Diminution de la Puissance Souscrite</w:t>
      </w:r>
      <w:bookmarkEnd w:id="44"/>
      <w:r>
        <w:t xml:space="preserve"> </w:t>
      </w:r>
    </w:p>
    <w:p w14:paraId="6D8F7714" w14:textId="77777777" w:rsidR="00A95F3E" w:rsidRPr="00CD44A1" w:rsidRDefault="00A95F3E" w:rsidP="0081571C">
      <w:r w:rsidRPr="00CD44A1">
        <w:t xml:space="preserve">Ces conditions sont cumulatives et le non-respect par le Fournisseur de l'une ou de plusieurs d'entre-elles entraîne le refus du GRD de faire droit à la demande de diminution : </w:t>
      </w:r>
    </w:p>
    <w:p w14:paraId="33D83932" w14:textId="77777777" w:rsidR="00A95F3E" w:rsidRPr="00CD44A1" w:rsidRDefault="00A95F3E" w:rsidP="00813965">
      <w:pPr>
        <w:pStyle w:val="SPuce"/>
      </w:pPr>
      <w:r w:rsidRPr="00CD44A1">
        <w:t>du respect des dispositions du chapitre 2 « Raccordement » des présentes dispositions générales ;</w:t>
      </w:r>
    </w:p>
    <w:p w14:paraId="0917019E" w14:textId="77777777" w:rsidR="00A95F3E" w:rsidRPr="00CD44A1" w:rsidRDefault="00A95F3E" w:rsidP="00813965">
      <w:pPr>
        <w:pStyle w:val="SPuce"/>
      </w:pPr>
      <w:r w:rsidRPr="00CD44A1">
        <w:t>du respect des modalités exposées à l'article 4.3 des présentes dispositions générales ;</w:t>
      </w:r>
    </w:p>
    <w:p w14:paraId="52A5C4B1" w14:textId="77777777" w:rsidR="00A95F3E" w:rsidRPr="00CD44A1" w:rsidRDefault="00A95F3E" w:rsidP="00813965">
      <w:pPr>
        <w:pStyle w:val="SPuce"/>
      </w:pPr>
      <w:r w:rsidRPr="00CD44A1">
        <w:t>du respect de la gamme des niveaux de puissance définie à l’article 4.1 des présentes dispositions générales.</w:t>
      </w:r>
    </w:p>
    <w:p w14:paraId="3C77A047" w14:textId="77777777" w:rsidR="00A95F3E" w:rsidRPr="00CD44A1" w:rsidRDefault="00A95F3E" w:rsidP="0081571C">
      <w:r w:rsidRPr="00CD44A1">
        <w:t>Lorsque la demande remplit les conditions sus-énoncées, la diminution de puissance entraîne une diminution proportionnelle du montant mensuel facturé au titre de la puissance.</w:t>
      </w:r>
    </w:p>
    <w:p w14:paraId="544CA5CC" w14:textId="77777777" w:rsidR="00A95F3E" w:rsidRPr="00A27113" w:rsidRDefault="00A95F3E" w:rsidP="0081571C">
      <w:r w:rsidRPr="00CD44A1">
        <w:t>La diminution de puissance n’est pas facturée, conformément à la délibération de la CRE en vigueur sur la tarification des prestations annexes réalisées à titre exclusif par les gestionnaires de réseaux de distribution d’électricité.</w:t>
      </w:r>
    </w:p>
    <w:p w14:paraId="1B81736E" w14:textId="77777777" w:rsidR="00A95F3E" w:rsidRPr="00A27113" w:rsidRDefault="00A95F3E" w:rsidP="0081571C">
      <w:pPr>
        <w:pStyle w:val="Titre2"/>
      </w:pPr>
      <w:bookmarkStart w:id="45" w:name="_Toc77686054"/>
      <w:r w:rsidRPr="00A27113">
        <w:t>Modalités de modification de la Puissance Souscrite</w:t>
      </w:r>
      <w:bookmarkEnd w:id="45"/>
    </w:p>
    <w:p w14:paraId="50360127" w14:textId="77777777" w:rsidR="00A95F3E" w:rsidRPr="00CD44A1" w:rsidRDefault="00A95F3E" w:rsidP="0081571C">
      <w:pPr>
        <w:rPr>
          <w:color w:val="auto"/>
        </w:rPr>
      </w:pPr>
      <w:r w:rsidRPr="00A27113">
        <w:t xml:space="preserve">Pour toute modification de Puissance Souscrite demandée dans les conditions du présent chapitre, </w:t>
      </w:r>
      <w:r w:rsidRPr="004D2399">
        <w:rPr>
          <w:noProof/>
          <w:color w:val="auto"/>
        </w:rPr>
        <w:t>le fournisseur demande par mail ou par téléphone la date d'intervention du GRD</w:t>
      </w:r>
      <w:r w:rsidRPr="00CD44A1">
        <w:rPr>
          <w:color w:val="auto"/>
        </w:rPr>
        <w:t>.</w:t>
      </w:r>
    </w:p>
    <w:p w14:paraId="42D705DE" w14:textId="77777777" w:rsidR="00A95F3E" w:rsidRPr="00A27113" w:rsidRDefault="00A95F3E" w:rsidP="0081571C">
      <w:r w:rsidRPr="00A27113">
        <w:t xml:space="preserve">La modification de la Puissance Souscrite est effectuée dans les conditions prévues par le Catalogue des prestations </w:t>
      </w:r>
      <w:r>
        <w:t>du GRD</w:t>
      </w:r>
      <w:r w:rsidRPr="00A27113">
        <w:t>. Elle prend effet dès que de l’intervention technique nécessaire est réalisée et que l’avis de modification est mis à disposition du Fournisseur.</w:t>
      </w:r>
    </w:p>
    <w:p w14:paraId="4E08E12D" w14:textId="77777777" w:rsidR="00A95F3E" w:rsidRPr="00A27113" w:rsidRDefault="00A95F3E" w:rsidP="0081571C">
      <w:r w:rsidRPr="00A27113">
        <w:t>Si la nouvelle Puissance Souscrite dépasse la capacité des ouvrages existants, la date d’effet de la modification de puissance prend en considération la durée d’exécution des travaux nécessaires.</w:t>
      </w:r>
    </w:p>
    <w:p w14:paraId="45B358C9" w14:textId="77777777" w:rsidR="00A95F3E" w:rsidRPr="00A27113" w:rsidRDefault="00A95F3E" w:rsidP="0081571C">
      <w:pPr>
        <w:pStyle w:val="Titre2"/>
      </w:pPr>
      <w:bookmarkStart w:id="46" w:name="_Toc77686055"/>
      <w:r w:rsidRPr="00A27113">
        <w:t>Cas particulier de Points de Livraison sans comptage</w:t>
      </w:r>
      <w:bookmarkEnd w:id="46"/>
      <w:r w:rsidRPr="00A27113">
        <w:t xml:space="preserve"> </w:t>
      </w:r>
    </w:p>
    <w:p w14:paraId="0C61DDE8" w14:textId="77777777" w:rsidR="00A95F3E" w:rsidRPr="00A27113" w:rsidRDefault="00A95F3E" w:rsidP="0081571C">
      <w:r w:rsidRPr="00A27113">
        <w:t>L’absence de Dispositif de comptage complet (compteur + disjoncteur) est exceptionnellement autorisée :</w:t>
      </w:r>
    </w:p>
    <w:p w14:paraId="218ABA51" w14:textId="77777777" w:rsidR="00A95F3E" w:rsidRPr="00A27113" w:rsidRDefault="00A95F3E" w:rsidP="0081571C">
      <w:pPr>
        <w:pStyle w:val="SPuce"/>
      </w:pPr>
      <w:r w:rsidRPr="00A27113">
        <w:t xml:space="preserve">d’une part pour des usages professionnels spécifiques de faible puissance (Puissance Souscrite inférieure à 3 kVA) et de très longue durée d’utilisation annuelle ; </w:t>
      </w:r>
    </w:p>
    <w:p w14:paraId="621A6F45" w14:textId="77777777" w:rsidR="00A95F3E" w:rsidRPr="00A27113" w:rsidRDefault="00A95F3E" w:rsidP="0081571C">
      <w:pPr>
        <w:pStyle w:val="SPuce"/>
      </w:pPr>
      <w:r w:rsidRPr="00A27113">
        <w:t>d’autre part, pour l’éclairage des voies publiques et usages assimilés (illumination, mobilier urbain, feux de signalisation).</w:t>
      </w:r>
    </w:p>
    <w:p w14:paraId="2B2B8C99" w14:textId="77777777" w:rsidR="00A95F3E" w:rsidRPr="00A27113" w:rsidRDefault="00A95F3E" w:rsidP="0081571C">
      <w:r w:rsidRPr="00A27113">
        <w:t xml:space="preserve">Les puissances sont alors accessibles par pas de 0,1 ou 1,2 kVA, selon les matériels disponibles, et a minima pour les valeurs suivantes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1"/>
        <w:gridCol w:w="1151"/>
        <w:gridCol w:w="1151"/>
        <w:gridCol w:w="1151"/>
        <w:gridCol w:w="1151"/>
        <w:gridCol w:w="1151"/>
        <w:gridCol w:w="1152"/>
        <w:gridCol w:w="1152"/>
      </w:tblGrid>
      <w:tr w:rsidR="00A95F3E" w:rsidRPr="00A27113" w14:paraId="1940242F" w14:textId="77777777" w:rsidTr="0081571C">
        <w:trPr>
          <w:trHeight w:val="454"/>
          <w:jc w:val="center"/>
        </w:trPr>
        <w:tc>
          <w:tcPr>
            <w:tcW w:w="1151" w:type="dxa"/>
            <w:vAlign w:val="center"/>
          </w:tcPr>
          <w:p w14:paraId="40BD9DF4" w14:textId="77777777" w:rsidR="00A95F3E" w:rsidRPr="00A27113" w:rsidRDefault="00A95F3E" w:rsidP="0081571C">
            <w:pPr>
              <w:rPr>
                <w:lang w:val="en-GB"/>
              </w:rPr>
            </w:pPr>
            <w:r w:rsidRPr="00A27113">
              <w:rPr>
                <w:lang w:val="en-GB"/>
              </w:rPr>
              <w:t>0,1 kVA</w:t>
            </w:r>
          </w:p>
        </w:tc>
        <w:tc>
          <w:tcPr>
            <w:tcW w:w="1151" w:type="dxa"/>
            <w:vAlign w:val="center"/>
          </w:tcPr>
          <w:p w14:paraId="45616159" w14:textId="77777777" w:rsidR="00A95F3E" w:rsidRPr="00A27113" w:rsidRDefault="00A95F3E" w:rsidP="0081571C">
            <w:pPr>
              <w:rPr>
                <w:lang w:val="en-GB"/>
              </w:rPr>
            </w:pPr>
            <w:r w:rsidRPr="00A27113">
              <w:rPr>
                <w:lang w:val="en-GB"/>
              </w:rPr>
              <w:t>0,3 kVA</w:t>
            </w:r>
          </w:p>
        </w:tc>
        <w:tc>
          <w:tcPr>
            <w:tcW w:w="1151" w:type="dxa"/>
            <w:vAlign w:val="center"/>
          </w:tcPr>
          <w:p w14:paraId="43E066A7" w14:textId="77777777" w:rsidR="00A95F3E" w:rsidRPr="00A27113" w:rsidRDefault="00A95F3E" w:rsidP="0081571C">
            <w:pPr>
              <w:rPr>
                <w:lang w:val="en-GB"/>
              </w:rPr>
            </w:pPr>
            <w:r w:rsidRPr="00A27113">
              <w:rPr>
                <w:lang w:val="en-GB"/>
              </w:rPr>
              <w:t>0,5 kVA</w:t>
            </w:r>
          </w:p>
        </w:tc>
        <w:tc>
          <w:tcPr>
            <w:tcW w:w="1151" w:type="dxa"/>
            <w:vAlign w:val="center"/>
          </w:tcPr>
          <w:p w14:paraId="12CEEDE9" w14:textId="77777777" w:rsidR="00A95F3E" w:rsidRPr="00A27113" w:rsidRDefault="00A95F3E" w:rsidP="0081571C">
            <w:pPr>
              <w:rPr>
                <w:lang w:val="en-GB"/>
              </w:rPr>
            </w:pPr>
            <w:r w:rsidRPr="00A27113">
              <w:rPr>
                <w:lang w:val="en-GB"/>
              </w:rPr>
              <w:t>0,7 kVA</w:t>
            </w:r>
          </w:p>
        </w:tc>
        <w:tc>
          <w:tcPr>
            <w:tcW w:w="1151" w:type="dxa"/>
            <w:vAlign w:val="center"/>
          </w:tcPr>
          <w:p w14:paraId="2789C3EF" w14:textId="77777777" w:rsidR="00A95F3E" w:rsidRPr="00A27113" w:rsidRDefault="00A95F3E" w:rsidP="0081571C">
            <w:pPr>
              <w:rPr>
                <w:lang w:val="en-GB"/>
              </w:rPr>
            </w:pPr>
            <w:r w:rsidRPr="00A27113">
              <w:rPr>
                <w:lang w:val="en-GB"/>
              </w:rPr>
              <w:t>0,9 kVA</w:t>
            </w:r>
          </w:p>
        </w:tc>
        <w:tc>
          <w:tcPr>
            <w:tcW w:w="1151" w:type="dxa"/>
            <w:vAlign w:val="center"/>
          </w:tcPr>
          <w:p w14:paraId="6B2E7BD1" w14:textId="77777777" w:rsidR="00A95F3E" w:rsidRPr="00A27113" w:rsidRDefault="00A95F3E" w:rsidP="0081571C">
            <w:pPr>
              <w:rPr>
                <w:lang w:val="en-GB"/>
              </w:rPr>
            </w:pPr>
            <w:r w:rsidRPr="00A27113">
              <w:rPr>
                <w:lang w:val="en-GB"/>
              </w:rPr>
              <w:t>1,1 kVA</w:t>
            </w:r>
          </w:p>
        </w:tc>
        <w:tc>
          <w:tcPr>
            <w:tcW w:w="1152" w:type="dxa"/>
            <w:vAlign w:val="center"/>
          </w:tcPr>
          <w:p w14:paraId="7150F284" w14:textId="77777777" w:rsidR="00A95F3E" w:rsidRPr="00A27113" w:rsidRDefault="00A95F3E" w:rsidP="0081571C">
            <w:r w:rsidRPr="00A27113">
              <w:t>1,4 kVA</w:t>
            </w:r>
          </w:p>
        </w:tc>
        <w:tc>
          <w:tcPr>
            <w:tcW w:w="1152" w:type="dxa"/>
            <w:vAlign w:val="center"/>
          </w:tcPr>
          <w:p w14:paraId="497499E1" w14:textId="77777777" w:rsidR="00A95F3E" w:rsidRPr="00A27113" w:rsidRDefault="00A95F3E" w:rsidP="0081571C">
            <w:r w:rsidRPr="00A27113">
              <w:t>2,2 kVA</w:t>
            </w:r>
          </w:p>
        </w:tc>
      </w:tr>
    </w:tbl>
    <w:p w14:paraId="4CB8D193" w14:textId="77777777" w:rsidR="00A95F3E" w:rsidRPr="00A27113" w:rsidRDefault="00A95F3E" w:rsidP="0081571C">
      <w:r w:rsidRPr="00A27113">
        <w:t>A ces Points de Livraison est appliquée la formule tarifaire « sans différenciation temporelle - longue utilisation » sur la base de deux paramètres :</w:t>
      </w:r>
    </w:p>
    <w:p w14:paraId="694CDE93" w14:textId="77777777" w:rsidR="00A95F3E" w:rsidRPr="00A27113" w:rsidRDefault="00A95F3E" w:rsidP="0081571C">
      <w:pPr>
        <w:pStyle w:val="SPuce"/>
      </w:pPr>
      <w:r w:rsidRPr="00A27113">
        <w:t>une Puissance Souscrite (exprimée en kVA), définie en fonction des puissances nominales des appareils raccordés en aval du Point de Livraison ;</w:t>
      </w:r>
    </w:p>
    <w:p w14:paraId="45039601" w14:textId="77777777" w:rsidR="00A95F3E" w:rsidRPr="00A27113" w:rsidRDefault="00A95F3E" w:rsidP="0081571C">
      <w:pPr>
        <w:pStyle w:val="SPuce"/>
      </w:pPr>
      <w:r w:rsidRPr="00A27113">
        <w:t>une durée d’utilisation (exprimée en heures), définie de la manière suivante :</w:t>
      </w:r>
    </w:p>
    <w:p w14:paraId="359E6DB8" w14:textId="77777777" w:rsidR="00A95F3E" w:rsidRPr="00A27113" w:rsidRDefault="00A95F3E" w:rsidP="007C2808">
      <w:pPr>
        <w:pStyle w:val="SPuce"/>
        <w:numPr>
          <w:ilvl w:val="1"/>
          <w:numId w:val="32"/>
        </w:numPr>
      </w:pPr>
      <w:r w:rsidRPr="00A27113">
        <w:t>pour les usages professionnels spécifiques mentionnés plus haut, la durée d'utilisation est fixée à 8760 heures,</w:t>
      </w:r>
    </w:p>
    <w:p w14:paraId="19E3FF04" w14:textId="77777777" w:rsidR="00A95F3E" w:rsidRPr="00A27113" w:rsidRDefault="00A95F3E" w:rsidP="007C2808">
      <w:pPr>
        <w:pStyle w:val="SPuce"/>
        <w:numPr>
          <w:ilvl w:val="1"/>
          <w:numId w:val="32"/>
        </w:numPr>
      </w:pPr>
      <w:r w:rsidRPr="00A27113">
        <w:t xml:space="preserve">pour les usages de type éclairage des voies publiques, la durée d'utilisation est définie en commun par le Fournisseur et </w:t>
      </w:r>
      <w:r>
        <w:t>le GRD</w:t>
      </w:r>
      <w:r w:rsidRPr="00A27113">
        <w:t xml:space="preserve"> en fonction des usages concernés.</w:t>
      </w:r>
    </w:p>
    <w:p w14:paraId="5ABB07C1" w14:textId="77777777" w:rsidR="00A95F3E" w:rsidRPr="00A27113" w:rsidRDefault="00A95F3E" w:rsidP="0081571C">
      <w:r w:rsidRPr="00A27113">
        <w:t xml:space="preserve">Des contrôles peuvent être réalisés par </w:t>
      </w:r>
      <w:r>
        <w:t>le GRD</w:t>
      </w:r>
      <w:r w:rsidRPr="00A27113">
        <w:t xml:space="preserve"> afin de vérifier la pertinence des valeurs choisies de ces deux paramètres. En cas d’écart observé, </w:t>
      </w:r>
      <w:r>
        <w:t>le GRD</w:t>
      </w:r>
      <w:r w:rsidRPr="00A27113">
        <w:t xml:space="preserve"> et le Fournisseur se rapprochent afin de fixer les nouvelles valeurs de ces paramètres et les conditions de régularisation des factures passées.</w:t>
      </w:r>
    </w:p>
    <w:p w14:paraId="54256602" w14:textId="77777777" w:rsidR="00A95F3E" w:rsidRPr="00A27113" w:rsidRDefault="00A95F3E" w:rsidP="007C2808">
      <w:pPr>
        <w:pStyle w:val="Titre1"/>
      </w:pPr>
      <w:bookmarkStart w:id="47" w:name="_Toc77686056"/>
      <w:r w:rsidRPr="00A27113">
        <w:t>Continuité et qualité</w:t>
      </w:r>
      <w:bookmarkEnd w:id="47"/>
      <w:r w:rsidRPr="00A27113">
        <w:t xml:space="preserve"> </w:t>
      </w:r>
    </w:p>
    <w:p w14:paraId="39C72DF9" w14:textId="77777777" w:rsidR="00A95F3E" w:rsidRPr="00A27113" w:rsidRDefault="00A95F3E" w:rsidP="007C2808">
      <w:pPr>
        <w:pStyle w:val="Titre2"/>
      </w:pPr>
      <w:bookmarkStart w:id="48" w:name="_Toc77686057"/>
      <w:r w:rsidRPr="00A27113">
        <w:t xml:space="preserve">Engagements </w:t>
      </w:r>
      <w:r>
        <w:t>du GRD</w:t>
      </w:r>
      <w:bookmarkEnd w:id="48"/>
      <w:r w:rsidRPr="00A27113">
        <w:t xml:space="preserve"> </w:t>
      </w:r>
    </w:p>
    <w:p w14:paraId="293B7BBB" w14:textId="77777777" w:rsidR="00A95F3E" w:rsidRPr="00A27113" w:rsidRDefault="00A95F3E" w:rsidP="007C2808">
      <w:r w:rsidRPr="00A27113">
        <w:t xml:space="preserve">Les prestations </w:t>
      </w:r>
      <w:r>
        <w:t>du GRD</w:t>
      </w:r>
      <w:r w:rsidRPr="00A27113">
        <w:t xml:space="preserve"> relatives à la continuité et à la qualité de l'onde électrique sont réalisées et facturées au Fournisseur selon les modalités définies dans les </w:t>
      </w:r>
      <w:r>
        <w:t>R</w:t>
      </w:r>
      <w:r w:rsidRPr="00A27113">
        <w:t xml:space="preserve">éférentiels </w:t>
      </w:r>
      <w:r>
        <w:t>du GRD</w:t>
      </w:r>
      <w:r w:rsidRPr="00A27113">
        <w:t xml:space="preserve"> et dans son Catalogue des prestations.</w:t>
      </w:r>
    </w:p>
    <w:p w14:paraId="6A067957" w14:textId="77777777" w:rsidR="00A95F3E" w:rsidRPr="00A27113" w:rsidRDefault="00A95F3E" w:rsidP="007C2808">
      <w:r w:rsidRPr="00A27113">
        <w:t xml:space="preserve">L'ensemble des engagements </w:t>
      </w:r>
      <w:r>
        <w:t>du GRD</w:t>
      </w:r>
      <w:r w:rsidRPr="00A27113">
        <w:t xml:space="preserve"> en matière de continuité et qualité sont pris au Point de Livraison.</w:t>
      </w:r>
    </w:p>
    <w:p w14:paraId="1569F897" w14:textId="77777777" w:rsidR="00A95F3E" w:rsidRPr="00A27113" w:rsidRDefault="00A95F3E" w:rsidP="007C2808">
      <w:pPr>
        <w:rPr>
          <w:rFonts w:cs="Arial"/>
        </w:rPr>
      </w:pPr>
      <w:r w:rsidRPr="00A27113">
        <w:rPr>
          <w:rFonts w:cs="Arial"/>
        </w:rPr>
        <w:t xml:space="preserve">La mise à disposition d’Alimentation(s) de Secours, comme celle de Disjoncteurs haute sensibilité, n’entre pas dans les obligations </w:t>
      </w:r>
      <w:r>
        <w:rPr>
          <w:rFonts w:cs="Arial"/>
        </w:rPr>
        <w:t>du GRD</w:t>
      </w:r>
      <w:r w:rsidRPr="00A27113">
        <w:rPr>
          <w:rFonts w:cs="Arial"/>
        </w:rPr>
        <w:t>.</w:t>
      </w:r>
    </w:p>
    <w:p w14:paraId="1D72879C" w14:textId="77777777" w:rsidR="00A95F3E" w:rsidRPr="00A27113" w:rsidRDefault="00A95F3E" w:rsidP="007C2808">
      <w:r w:rsidRPr="00A27113">
        <w:t xml:space="preserve">Conformément à la réglementation en vigueur (dont les articles D322-1 à D322-10 du code de l’énergie et les prescriptions du cahier des charges de concession applicable), </w:t>
      </w:r>
      <w:r>
        <w:t>le GRD</w:t>
      </w:r>
      <w:r w:rsidRPr="00A27113">
        <w:t xml:space="preserve"> s'engage sur la continuité et la qualité de l’électricité sauf dans les cas qui relèvent de la force majeure ou de contraintes insurmontables liées à des phénomènes atmosphériques ou aux limites des techniques existantes au moment de l'incident, et sauf dans les cas énoncés ci-après :</w:t>
      </w:r>
    </w:p>
    <w:p w14:paraId="4DC91B7A" w14:textId="77777777" w:rsidR="00A95F3E" w:rsidRPr="00A27113" w:rsidRDefault="00A95F3E" w:rsidP="007C2808">
      <w:pPr>
        <w:pStyle w:val="SPuce"/>
      </w:pPr>
      <w:r w:rsidRPr="00A27113">
        <w:t xml:space="preserve">dans les cas cités à l'article </w:t>
      </w:r>
      <w:r>
        <w:t>9.3</w:t>
      </w:r>
      <w:r w:rsidRPr="00A27113">
        <w:t xml:space="preserve"> des présentes dispositions générales ;</w:t>
      </w:r>
    </w:p>
    <w:p w14:paraId="372FECD0" w14:textId="77777777" w:rsidR="00A95F3E" w:rsidRPr="00A27113" w:rsidRDefault="00A95F3E" w:rsidP="007C2808">
      <w:pPr>
        <w:pStyle w:val="SPuce"/>
      </w:pPr>
      <w:r w:rsidRPr="00A27113">
        <w:t xml:space="preserve">lorsque la continuité de l'électricité est affectée, sans faute de la part </w:t>
      </w:r>
      <w:r>
        <w:t>du GRD</w:t>
      </w:r>
      <w:r w:rsidRPr="00A27113">
        <w:t>, d’interruptions dues au fait imprévisible et irrésistible d’un tiers ;</w:t>
      </w:r>
    </w:p>
    <w:p w14:paraId="449CCB11" w14:textId="77777777" w:rsidR="00A95F3E" w:rsidRPr="00A27113" w:rsidRDefault="00A95F3E" w:rsidP="007C2808">
      <w:pPr>
        <w:pStyle w:val="SPuce"/>
      </w:pPr>
      <w:r w:rsidRPr="00A27113">
        <w:t xml:space="preserve">lorsque la qualité de l'électricité pour des usages professionnels est affectée, sans faute de la part </w:t>
      </w:r>
      <w:r>
        <w:t>du GRD</w:t>
      </w:r>
      <w:r w:rsidRPr="00A27113">
        <w:t>, de défauts dus au fait imprévisible et irrésistible d’un tiers.</w:t>
      </w:r>
    </w:p>
    <w:p w14:paraId="4E272D68" w14:textId="77777777" w:rsidR="00A95F3E" w:rsidRPr="00A27113" w:rsidRDefault="00A95F3E" w:rsidP="007C2808">
      <w:pPr>
        <w:pStyle w:val="Titre3"/>
      </w:pPr>
      <w:r w:rsidRPr="00A27113">
        <w:tab/>
      </w:r>
      <w:bookmarkStart w:id="49" w:name="_Toc77686058"/>
      <w:r w:rsidRPr="00A27113">
        <w:t xml:space="preserve">Engagements </w:t>
      </w:r>
      <w:r>
        <w:t>du GRD</w:t>
      </w:r>
      <w:r w:rsidRPr="00A27113">
        <w:t xml:space="preserve"> en matière de qualité de l’onde</w:t>
      </w:r>
      <w:bookmarkEnd w:id="49"/>
      <w:r w:rsidRPr="00A27113">
        <w:t xml:space="preserve"> </w:t>
      </w:r>
    </w:p>
    <w:p w14:paraId="5005CDA4" w14:textId="77777777" w:rsidR="00A95F3E" w:rsidRPr="00A27113" w:rsidRDefault="00A95F3E" w:rsidP="007C2808">
      <w:r>
        <w:t>Le GRD</w:t>
      </w:r>
      <w:r w:rsidRPr="00A27113">
        <w:t xml:space="preserve"> s’engage </w:t>
      </w:r>
      <w:r w:rsidRPr="00A27113">
        <w:rPr>
          <w:bCs/>
        </w:rPr>
        <w:t xml:space="preserve">à livrer au Client une </w:t>
      </w:r>
      <w:r w:rsidRPr="00A27113">
        <w:t xml:space="preserve">électricité d’une qualité régulière, définie et compatible avec les utilisations usuelles de l’énergie électrique. </w:t>
      </w:r>
    </w:p>
    <w:p w14:paraId="09AEE4C6" w14:textId="77777777" w:rsidR="00A95F3E" w:rsidRPr="00A27113" w:rsidRDefault="00A95F3E" w:rsidP="007C2808">
      <w:r w:rsidRPr="00A27113">
        <w:t xml:space="preserve">La Tension Nominale est de 230 V en courant monophasé et de 400 V en courant triphasé. </w:t>
      </w:r>
      <w:r>
        <w:t>Le GRD</w:t>
      </w:r>
      <w:r w:rsidRPr="00A27113">
        <w:t xml:space="preserve"> maintient la Tension de F</w:t>
      </w:r>
      <w:r>
        <w:t>ourniture au Point de Livraison</w:t>
      </w:r>
      <w:r w:rsidRPr="00A27113">
        <w:t xml:space="preserve"> à l’intérieur d’une plage de variation, fixée par les articles D322-9 à D322-10 du code de l’énergie, allant de + à – 10% de la Tension Nominale. La</w:t>
      </w:r>
      <w:r w:rsidRPr="00A27113">
        <w:rPr>
          <w:shd w:val="clear" w:color="auto" w:fill="FFFFFF" w:themeFill="background1"/>
        </w:rPr>
        <w:t xml:space="preserve"> valeur</w:t>
      </w:r>
      <w:r w:rsidRPr="00A27113">
        <w:t xml:space="preserve"> nominale de la fréquence de la tension est de 50 Hz.</w:t>
      </w:r>
    </w:p>
    <w:p w14:paraId="158B2B64" w14:textId="77777777" w:rsidR="00A95F3E" w:rsidRPr="00A27113" w:rsidRDefault="00A95F3E" w:rsidP="007C2808">
      <w:r w:rsidRPr="00A27113">
        <w:t>Les conditions de mesure de ces caractéristiques sont celles de la norme NF EN 50-160 disponible auprès de l’AFNOR.</w:t>
      </w:r>
    </w:p>
    <w:p w14:paraId="170C5C4B" w14:textId="77777777" w:rsidR="00A95F3E" w:rsidRPr="00A27113" w:rsidRDefault="00A95F3E" w:rsidP="0077150C">
      <w:pPr>
        <w:pStyle w:val="Titre3"/>
        <w:tabs>
          <w:tab w:val="num" w:pos="720"/>
        </w:tabs>
        <w:spacing w:after="60"/>
        <w:ind w:left="720" w:hanging="720"/>
      </w:pPr>
      <w:bookmarkStart w:id="50" w:name="_Toc77686059"/>
      <w:r w:rsidRPr="00A27113">
        <w:t xml:space="preserve">Engagements </w:t>
      </w:r>
      <w:r>
        <w:t>du GRD</w:t>
      </w:r>
      <w:r w:rsidRPr="00A27113">
        <w:t xml:space="preserve"> sur la continuité hors travaux</w:t>
      </w:r>
      <w:bookmarkEnd w:id="50"/>
      <w:r w:rsidRPr="00A27113">
        <w:t xml:space="preserve"> </w:t>
      </w:r>
    </w:p>
    <w:p w14:paraId="503D6F3A" w14:textId="77777777" w:rsidR="00A95F3E" w:rsidRPr="00A27113" w:rsidRDefault="00A95F3E" w:rsidP="004A71F0">
      <w:pPr>
        <w:pStyle w:val="Titre4"/>
      </w:pPr>
      <w:r w:rsidRPr="00A27113">
        <w:t>Principes</w:t>
      </w:r>
    </w:p>
    <w:p w14:paraId="5FE0F6EF" w14:textId="77777777" w:rsidR="00A95F3E" w:rsidRPr="00A27113" w:rsidRDefault="00A95F3E" w:rsidP="004A71F0">
      <w:r>
        <w:t>Le GRD</w:t>
      </w:r>
      <w:r w:rsidRPr="00A27113">
        <w:t xml:space="preserve"> s’engage à mettre en œuvre tous les moyens pour assurer une continuité d’alimentation en électricité, dans les limites des techniques existantes concernant le réseau et le système électrique.</w:t>
      </w:r>
    </w:p>
    <w:p w14:paraId="546E1A1F" w14:textId="77777777" w:rsidR="00A95F3E" w:rsidRPr="00A27113" w:rsidRDefault="00A95F3E" w:rsidP="004A71F0">
      <w:pPr>
        <w:pStyle w:val="Titre4"/>
      </w:pPr>
      <w:r w:rsidRPr="00A27113">
        <w:t>Mécanisme de pénalité pour les Coupures Longues</w:t>
      </w:r>
    </w:p>
    <w:p w14:paraId="1EECF54D" w14:textId="77777777" w:rsidR="00A95F3E" w:rsidRPr="00A27113" w:rsidRDefault="00A95F3E" w:rsidP="004A71F0">
      <w:r>
        <w:t>Le GRD</w:t>
      </w:r>
      <w:r w:rsidRPr="00A27113">
        <w:t xml:space="preserve"> verse automatiquement, au bénéfice du Client concerné, le cas échéant via son Fournisseur, une pénalité pour toute Coupure Longue d’une durée supérieure à celle fixée par la d</w:t>
      </w:r>
      <w:r>
        <w:t>élibération de la CRE en vigueur</w:t>
      </w:r>
      <w:r w:rsidRPr="00A27113">
        <w:t xml:space="preserve"> relative aux tarifs d’utilisation du RPD. </w:t>
      </w:r>
    </w:p>
    <w:p w14:paraId="038B3CE1" w14:textId="77777777" w:rsidR="00A95F3E" w:rsidRPr="00A27113" w:rsidRDefault="00A95F3E" w:rsidP="004A71F0">
      <w:r w:rsidRPr="00A27113">
        <w:t xml:space="preserve">Le montant et les conditions d’application de cette pénalité sont définis conformément aux dispositions de la délibération de la CRE en vigueur relative aux tarifs d’utilisation du RPD. A titre d’information, dans la délibération de la CRE du 17 novembre 2016 relative aux tarifs d’utilisation du RPD, cette pénalité est versée pour toute coupure de plus de cinq heures, imputable à une défaillance du RPD géré par </w:t>
      </w:r>
      <w:r>
        <w:t>le GRD</w:t>
      </w:r>
      <w:r w:rsidRPr="00A27113">
        <w:t xml:space="preserve"> ou du RPT géré par RTE. Elle est égale à un montant forfaitaire, décliné par niveau de tension et par tranche de cinq heures de Coupure, dans la limite de quarante tranches consécutives de cinq heures.</w:t>
      </w:r>
    </w:p>
    <w:p w14:paraId="0FAB362B" w14:textId="77777777" w:rsidR="00A95F3E" w:rsidRPr="00A27113" w:rsidRDefault="00A95F3E" w:rsidP="004A71F0">
      <w:r w:rsidRPr="00A27113">
        <w:t xml:space="preserve">Cette pénalité s’applique sans préjudice d’une éventuelle indemnisation du Client au titre de la responsabilité civile de droit commun </w:t>
      </w:r>
      <w:r>
        <w:t>du GRD</w:t>
      </w:r>
      <w:r w:rsidRPr="00A27113">
        <w:t>.</w:t>
      </w:r>
    </w:p>
    <w:p w14:paraId="3649CC77" w14:textId="77777777" w:rsidR="00A95F3E" w:rsidRDefault="00A95F3E" w:rsidP="004A71F0">
      <w:r w:rsidRPr="00A27113">
        <w:t>Afin de prendre en compte les situations extrêmes, conformément à la délibération précitée, cette pénalité n’est pas versée aux Clients concernés, en cas de Coupure de plus de 20% de l’ensemble des Clients finals alimentés directement ou indirectement par le Réseau Public de Transport.</w:t>
      </w:r>
    </w:p>
    <w:p w14:paraId="4835B797" w14:textId="77777777" w:rsidR="00A95F3E" w:rsidRPr="00FD151F" w:rsidRDefault="00A95F3E" w:rsidP="00FD151F">
      <w:pPr>
        <w:autoSpaceDE w:val="0"/>
        <w:autoSpaceDN w:val="0"/>
        <w:spacing w:after="0"/>
        <w:rPr>
          <w:rFonts w:ascii="Calibri" w:hAnsi="Calibri"/>
        </w:rPr>
      </w:pPr>
      <w:r>
        <w:rPr>
          <w:noProof/>
        </w:rPr>
        <w:t>Par ailleurs et comme l'y autorise la délibération de la CRE précitée, le GRD applique un facteur de réduction de 90% aux montants des pénalités normalement applicables en cas d'événement exceptionnel</w:t>
      </w:r>
      <w:r w:rsidRPr="00FD151F">
        <w:t>.</w:t>
      </w:r>
    </w:p>
    <w:p w14:paraId="4FD0E4D6" w14:textId="77777777" w:rsidR="00A95F3E" w:rsidRPr="00A27113" w:rsidRDefault="00A95F3E" w:rsidP="004A71F0">
      <w:pPr>
        <w:pStyle w:val="Titre3"/>
      </w:pPr>
      <w:bookmarkStart w:id="51" w:name="_Toc77686060"/>
      <w:r w:rsidRPr="00A27113">
        <w:t xml:space="preserve">Prestations </w:t>
      </w:r>
      <w:r>
        <w:t>du GRD</w:t>
      </w:r>
      <w:r w:rsidRPr="00A27113">
        <w:t xml:space="preserve"> pour l’information des Clients en cas d’incident affectant le RPD</w:t>
      </w:r>
      <w:bookmarkEnd w:id="51"/>
      <w:r>
        <w:t xml:space="preserve"> </w:t>
      </w:r>
    </w:p>
    <w:p w14:paraId="1BE7BC70" w14:textId="77777777" w:rsidR="00A95F3E" w:rsidRPr="00F83832" w:rsidRDefault="00A95F3E" w:rsidP="004A71F0">
      <w:r>
        <w:rPr>
          <w:noProof/>
        </w:rPr>
        <w:t>Le GRD met à disposition des moyens permettant au Client d'obtenir les renseignements en possession du GRD relatifs à la Coupure subie (à titre d'information, les principaux moyens utilisés sont un numéro d'appel téléphonique figurant sur la facture du Fournisseur adressée au Client).</w:t>
      </w:r>
    </w:p>
    <w:p w14:paraId="2434CE3C" w14:textId="77777777" w:rsidR="00A95F3E" w:rsidRPr="002D51CE" w:rsidRDefault="00A95F3E" w:rsidP="004A71F0">
      <w:r w:rsidRPr="002D51CE">
        <w:t>Le tableau ci-dessous résume les services d'information offerts par le GRD hors régime perturbé et situations de crise.</w:t>
      </w:r>
    </w:p>
    <w:p w14:paraId="18D89A75" w14:textId="77777777" w:rsidR="00A95F3E" w:rsidRPr="002D51CE" w:rsidRDefault="00A95F3E" w:rsidP="004A71F0">
      <w:r w:rsidRPr="002D51CE">
        <w:t>Tout demande relative à d’autres prestations, ou à une extension des prestations proposées à d’autres catégories de Points de Livraison que celles mentionnées est étudiée par le GRD et fait l’objet d’un devis.</w:t>
      </w:r>
    </w:p>
    <w:p w14:paraId="48AA38FE" w14:textId="77777777" w:rsidR="00A95F3E" w:rsidRPr="002D51CE" w:rsidRDefault="00A95F3E" w:rsidP="004A71F0">
      <w:r w:rsidRPr="002D51CE">
        <w:t>Sauf mention particulière, les seuls incidents concernés par ces services d'information sont ceux résultant d’une Coupure Longue sur le réseau HTA.</w:t>
      </w:r>
    </w:p>
    <w:p w14:paraId="455954D8" w14:textId="77777777" w:rsidR="00A95F3E" w:rsidRPr="002D51CE" w:rsidRDefault="00A95F3E" w:rsidP="0077150C">
      <w:pPr>
        <w:pStyle w:val="Normal1"/>
        <w:rPr>
          <w:sz w:val="18"/>
        </w:rPr>
      </w:pPr>
    </w:p>
    <w:tbl>
      <w:tblPr>
        <w:tblW w:w="6712" w:type="dxa"/>
        <w:tblInd w:w="790" w:type="dxa"/>
        <w:tblBorders>
          <w:top w:val="single" w:sz="6" w:space="0" w:color="auto"/>
          <w:left w:val="single" w:sz="6" w:space="0" w:color="auto"/>
          <w:bottom w:val="sing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2977"/>
        <w:gridCol w:w="992"/>
        <w:gridCol w:w="900"/>
      </w:tblGrid>
      <w:tr w:rsidR="00A95F3E" w:rsidRPr="002D51CE" w14:paraId="04BED575" w14:textId="77777777" w:rsidTr="004A71F0">
        <w:trPr>
          <w:cantSplit/>
          <w:trHeight w:val="1114"/>
        </w:trPr>
        <w:tc>
          <w:tcPr>
            <w:tcW w:w="1843" w:type="dxa"/>
            <w:vAlign w:val="center"/>
          </w:tcPr>
          <w:p w14:paraId="0F18C3E1" w14:textId="77777777" w:rsidR="00A95F3E" w:rsidRPr="002D51CE" w:rsidRDefault="00A95F3E" w:rsidP="004A71F0">
            <w:pPr>
              <w:jc w:val="center"/>
              <w:rPr>
                <w:b/>
              </w:rPr>
            </w:pPr>
            <w:r w:rsidRPr="002D51CE">
              <w:rPr>
                <w:b/>
              </w:rPr>
              <w:t>Nom du service</w:t>
            </w:r>
          </w:p>
        </w:tc>
        <w:tc>
          <w:tcPr>
            <w:tcW w:w="2977" w:type="dxa"/>
            <w:vAlign w:val="center"/>
          </w:tcPr>
          <w:p w14:paraId="441F474F" w14:textId="77777777" w:rsidR="00A95F3E" w:rsidRPr="002D51CE" w:rsidRDefault="00A95F3E" w:rsidP="004A71F0">
            <w:pPr>
              <w:jc w:val="center"/>
              <w:rPr>
                <w:rFonts w:ascii="Arial" w:hAnsi="Arial"/>
                <w:b/>
                <w:bCs/>
              </w:rPr>
            </w:pPr>
            <w:r w:rsidRPr="002D51CE">
              <w:rPr>
                <w:rFonts w:ascii="Calibri" w:hAnsi="Calibri"/>
                <w:b/>
                <w:bCs/>
              </w:rPr>
              <w:t>Description</w:t>
            </w:r>
          </w:p>
        </w:tc>
        <w:tc>
          <w:tcPr>
            <w:tcW w:w="992" w:type="dxa"/>
            <w:vAlign w:val="center"/>
          </w:tcPr>
          <w:p w14:paraId="7EFF80DB" w14:textId="77777777" w:rsidR="00A95F3E" w:rsidRPr="002D51CE" w:rsidRDefault="00A95F3E" w:rsidP="004A71F0">
            <w:pPr>
              <w:jc w:val="center"/>
              <w:rPr>
                <w:b/>
              </w:rPr>
            </w:pPr>
            <w:r w:rsidRPr="002D51CE">
              <w:rPr>
                <w:b/>
              </w:rPr>
              <w:t>PDL BT</w:t>
            </w:r>
          </w:p>
          <w:p w14:paraId="2AFF45A0" w14:textId="77777777" w:rsidR="00A95F3E" w:rsidRPr="002D51CE" w:rsidRDefault="00A95F3E" w:rsidP="004A71F0">
            <w:pPr>
              <w:jc w:val="center"/>
              <w:rPr>
                <w:b/>
              </w:rPr>
            </w:pPr>
            <w:r w:rsidRPr="002D51CE">
              <w:rPr>
                <w:b/>
              </w:rPr>
              <w:t>≤ 36 kVA</w:t>
            </w:r>
          </w:p>
        </w:tc>
        <w:tc>
          <w:tcPr>
            <w:tcW w:w="900" w:type="dxa"/>
            <w:tcBorders>
              <w:right w:val="single" w:sz="6" w:space="0" w:color="auto"/>
            </w:tcBorders>
            <w:vAlign w:val="center"/>
          </w:tcPr>
          <w:p w14:paraId="1E1ECC8A" w14:textId="77777777" w:rsidR="00A95F3E" w:rsidRPr="002D51CE" w:rsidRDefault="00A95F3E" w:rsidP="004A71F0">
            <w:pPr>
              <w:jc w:val="center"/>
              <w:rPr>
                <w:b/>
              </w:rPr>
            </w:pPr>
            <w:r w:rsidRPr="002D51CE">
              <w:rPr>
                <w:b/>
              </w:rPr>
              <w:t>PDL PHRV</w:t>
            </w:r>
          </w:p>
          <w:p w14:paraId="1E999391" w14:textId="77777777" w:rsidR="00A95F3E" w:rsidRPr="002D51CE" w:rsidRDefault="00A95F3E" w:rsidP="004A71F0">
            <w:pPr>
              <w:jc w:val="center"/>
              <w:rPr>
                <w:b/>
              </w:rPr>
            </w:pPr>
            <w:r w:rsidRPr="002D51CE">
              <w:rPr>
                <w:b/>
              </w:rPr>
              <w:t>(*)</w:t>
            </w:r>
          </w:p>
        </w:tc>
      </w:tr>
      <w:tr w:rsidR="00A95F3E" w:rsidRPr="002D51CE" w14:paraId="6D3B89AB" w14:textId="77777777" w:rsidTr="004A71F0">
        <w:trPr>
          <w:cantSplit/>
        </w:trPr>
        <w:tc>
          <w:tcPr>
            <w:tcW w:w="1843" w:type="dxa"/>
          </w:tcPr>
          <w:p w14:paraId="280F8A53" w14:textId="77777777" w:rsidR="00A95F3E" w:rsidRPr="002D51CE" w:rsidRDefault="00A95F3E" w:rsidP="004A71F0">
            <w:pPr>
              <w:jc w:val="center"/>
            </w:pPr>
            <w:r w:rsidRPr="002D51CE">
              <w:t xml:space="preserve">Réponse téléphonique sur les incidents en temps réel, </w:t>
            </w:r>
          </w:p>
        </w:tc>
        <w:tc>
          <w:tcPr>
            <w:tcW w:w="2977" w:type="dxa"/>
          </w:tcPr>
          <w:p w14:paraId="773A5B0E" w14:textId="77777777" w:rsidR="00A95F3E" w:rsidRPr="002D51CE" w:rsidRDefault="00A95F3E" w:rsidP="004A71F0">
            <w:pPr>
              <w:jc w:val="center"/>
            </w:pPr>
            <w:r w:rsidRPr="002D51CE">
              <w:t xml:space="preserve">Agent de permanence </w:t>
            </w:r>
          </w:p>
          <w:p w14:paraId="14C41E2D" w14:textId="77777777" w:rsidR="00A95F3E" w:rsidRPr="002D51CE" w:rsidRDefault="00A95F3E" w:rsidP="004A71F0">
            <w:pPr>
              <w:jc w:val="center"/>
            </w:pPr>
          </w:p>
        </w:tc>
        <w:tc>
          <w:tcPr>
            <w:tcW w:w="992" w:type="dxa"/>
            <w:vAlign w:val="center"/>
          </w:tcPr>
          <w:p w14:paraId="42C66204" w14:textId="77777777" w:rsidR="00A95F3E" w:rsidRPr="002D51CE" w:rsidRDefault="00A95F3E" w:rsidP="004A71F0">
            <w:pPr>
              <w:jc w:val="center"/>
            </w:pPr>
            <w:r w:rsidRPr="002D51CE">
              <w:t>X</w:t>
            </w:r>
          </w:p>
        </w:tc>
        <w:tc>
          <w:tcPr>
            <w:tcW w:w="900" w:type="dxa"/>
            <w:tcBorders>
              <w:right w:val="single" w:sz="6" w:space="0" w:color="auto"/>
            </w:tcBorders>
            <w:vAlign w:val="center"/>
          </w:tcPr>
          <w:p w14:paraId="4FAAF9BC" w14:textId="77777777" w:rsidR="00A95F3E" w:rsidRPr="002D51CE" w:rsidRDefault="00A95F3E" w:rsidP="004A71F0">
            <w:pPr>
              <w:jc w:val="center"/>
            </w:pPr>
            <w:r w:rsidRPr="002D51CE">
              <w:t>X</w:t>
            </w:r>
          </w:p>
        </w:tc>
      </w:tr>
    </w:tbl>
    <w:p w14:paraId="201D664D" w14:textId="77777777" w:rsidR="00A95F3E" w:rsidRPr="00A27113" w:rsidRDefault="00A95F3E" w:rsidP="004A71F0">
      <w:r w:rsidRPr="002D51CE">
        <w:t>(*) PHRV : Patient à Haut Risque Vital</w:t>
      </w:r>
    </w:p>
    <w:p w14:paraId="22EA5125" w14:textId="77777777" w:rsidR="00A95F3E" w:rsidRPr="00A27113" w:rsidRDefault="00A95F3E" w:rsidP="004A71F0">
      <w:pPr>
        <w:pStyle w:val="Titre3"/>
      </w:pPr>
      <w:bookmarkStart w:id="52" w:name="_Toc77686061"/>
      <w:r w:rsidRPr="00A27113">
        <w:t xml:space="preserve">Engagements </w:t>
      </w:r>
      <w:r>
        <w:t>du GRD</w:t>
      </w:r>
      <w:r w:rsidRPr="00A27113">
        <w:t xml:space="preserve"> sur la continuité dans le cadre des travaux sur le Réseau Public de Distribution</w:t>
      </w:r>
      <w:bookmarkEnd w:id="52"/>
      <w:r w:rsidRPr="00A27113">
        <w:t xml:space="preserve"> </w:t>
      </w:r>
    </w:p>
    <w:p w14:paraId="1237C2A0" w14:textId="77777777" w:rsidR="00A95F3E" w:rsidRPr="00A27113" w:rsidRDefault="00A95F3E" w:rsidP="004A71F0">
      <w:r w:rsidRPr="00A27113">
        <w:t>Lorsque des interventions programmées sur le réseau sont nécessaires, elles sont alors portées à la connaissance des clients, au moins 3 jours à l’avance, avec l'indication de la durée prévisible d'interruption, par voie de presse, d'affichage ou d'informations individualisées</w:t>
      </w:r>
      <w:r w:rsidRPr="00A27113">
        <w:rPr>
          <w:szCs w:val="18"/>
        </w:rPr>
        <w:t>, conformément aux prescriptions du cahier des charges de concession</w:t>
      </w:r>
      <w:r w:rsidRPr="00A27113">
        <w:t>.</w:t>
      </w:r>
    </w:p>
    <w:p w14:paraId="003220DD" w14:textId="77777777" w:rsidR="00A95F3E" w:rsidRPr="00A27113" w:rsidRDefault="00A95F3E" w:rsidP="004A71F0">
      <w:pPr>
        <w:rPr>
          <w:sz w:val="16"/>
        </w:rPr>
      </w:pPr>
      <w:r w:rsidRPr="00A27113">
        <w:rPr>
          <w:szCs w:val="18"/>
        </w:rPr>
        <w:t>Lors</w:t>
      </w:r>
      <w:r>
        <w:rPr>
          <w:szCs w:val="18"/>
        </w:rPr>
        <w:t>que le GRD</w:t>
      </w:r>
      <w:r w:rsidRPr="00A27113">
        <w:rPr>
          <w:szCs w:val="18"/>
        </w:rPr>
        <w:t xml:space="preserve"> est amené à couper une alimentation pour des raisons de sécurité ou à déprogrammer des travaux sur le RPD, elle fait ses meilleurs efforts pour en informer les clients concernés</w:t>
      </w:r>
      <w:r w:rsidRPr="00A27113">
        <w:rPr>
          <w:sz w:val="16"/>
        </w:rPr>
        <w:t>.</w:t>
      </w:r>
    </w:p>
    <w:p w14:paraId="1E235C42" w14:textId="77777777" w:rsidR="00A95F3E" w:rsidRPr="00A27113" w:rsidRDefault="00A95F3E" w:rsidP="004A71F0">
      <w:r>
        <w:t>Le GRD</w:t>
      </w:r>
      <w:r w:rsidRPr="00A27113">
        <w:t xml:space="preserve"> informe le Fournisseur des zones géographiques et des PDL touchées par les coupures ainsi que de la durée prévisible de la coupure. </w:t>
      </w:r>
    </w:p>
    <w:p w14:paraId="4D971CA1" w14:textId="77777777" w:rsidR="00A95F3E" w:rsidRPr="00A27113" w:rsidRDefault="00A95F3E" w:rsidP="00FD151F">
      <w:r w:rsidRPr="00A27113">
        <w:t>La durée d'une interruption peut exceptionnellement atteindre 10 heures mais ne peut en aucun cas les dépasser.</w:t>
      </w:r>
    </w:p>
    <w:p w14:paraId="39322DBF" w14:textId="77777777" w:rsidR="00A95F3E" w:rsidRPr="00A27113" w:rsidRDefault="00A95F3E" w:rsidP="004A71F0">
      <w:pPr>
        <w:pStyle w:val="Titre2"/>
      </w:pPr>
      <w:bookmarkStart w:id="53" w:name="_Toc77686062"/>
      <w:r w:rsidRPr="00A27113">
        <w:t>Engagements du Client</w:t>
      </w:r>
      <w:bookmarkEnd w:id="53"/>
    </w:p>
    <w:p w14:paraId="5511C962" w14:textId="77777777" w:rsidR="00A95F3E" w:rsidRPr="00A27113" w:rsidRDefault="00A95F3E" w:rsidP="004A71F0">
      <w:pPr>
        <w:pStyle w:val="Titre3"/>
      </w:pPr>
      <w:bookmarkStart w:id="54" w:name="_Toc77686063"/>
      <w:r w:rsidRPr="00A27113">
        <w:t>Obligation de prudence</w:t>
      </w:r>
      <w:bookmarkEnd w:id="54"/>
    </w:p>
    <w:p w14:paraId="26679C01" w14:textId="77777777" w:rsidR="00A95F3E" w:rsidRPr="00A27113" w:rsidRDefault="00A95F3E" w:rsidP="004A71F0">
      <w:pPr>
        <w:rPr>
          <w:szCs w:val="18"/>
        </w:rPr>
      </w:pPr>
      <w:r w:rsidRPr="00A27113">
        <w:rPr>
          <w:szCs w:val="18"/>
        </w:rPr>
        <w:t>Il appartient au Client de prendre les précautions élémentaires pour se prémunir contre les conséquences des interruptions et défauts dans la qualité de la fourniture. Des conseils peuvent être demandés par le Client au Fournisseur.</w:t>
      </w:r>
    </w:p>
    <w:p w14:paraId="6FD89F50" w14:textId="77777777" w:rsidR="00A95F3E" w:rsidRPr="00A27113" w:rsidRDefault="00A95F3E" w:rsidP="004A71F0">
      <w:pPr>
        <w:rPr>
          <w:szCs w:val="18"/>
        </w:rPr>
      </w:pPr>
      <w:r w:rsidRPr="00A27113">
        <w:rPr>
          <w:szCs w:val="18"/>
        </w:rPr>
        <w:t xml:space="preserve">Toute installation raccordée au RPD doit être capable de supporter les perturbations liées à l’exploitation en régime normal du RPD et faire face à celles qui peuvent être générées par les situations exceptionnelles. </w:t>
      </w:r>
    </w:p>
    <w:p w14:paraId="6464AECE" w14:textId="77777777" w:rsidR="00A95F3E" w:rsidRPr="00A27113" w:rsidRDefault="00A95F3E" w:rsidP="004A71F0">
      <w:pPr>
        <w:rPr>
          <w:szCs w:val="18"/>
        </w:rPr>
      </w:pPr>
      <w:r w:rsidRPr="00A27113">
        <w:rPr>
          <w:szCs w:val="18"/>
        </w:rPr>
        <w:t xml:space="preserve">L'installation doit être équipée d'un dispositif de protection permettant d'éliminer les défauts. Les dispositifs de protection doivent tenir compte des besoins de l'installation et être coordonnés avec les systèmes de protection du RPD, notamment en matière d'automatismes. </w:t>
      </w:r>
    </w:p>
    <w:p w14:paraId="059300A9" w14:textId="77777777" w:rsidR="00A95F3E" w:rsidRPr="00A27113" w:rsidRDefault="00A95F3E" w:rsidP="004A71F0">
      <w:pPr>
        <w:rPr>
          <w:szCs w:val="18"/>
        </w:rPr>
      </w:pPr>
      <w:r w:rsidRPr="00A27113">
        <w:rPr>
          <w:szCs w:val="18"/>
        </w:rPr>
        <w:t>Le Client doit prendre les mesures nécessaires pour que ses installations respectent les règles de compatibilité électromagnétique et soient protégées contre les surtensions transitoires d’origine atmosphérique.</w:t>
      </w:r>
    </w:p>
    <w:p w14:paraId="738D157A" w14:textId="0D2E1184" w:rsidR="00A95F3E" w:rsidRPr="00A27113" w:rsidRDefault="00A95F3E" w:rsidP="004A71F0">
      <w:pPr>
        <w:rPr>
          <w:szCs w:val="18"/>
        </w:rPr>
      </w:pPr>
      <w:r>
        <w:rPr>
          <w:szCs w:val="18"/>
        </w:rPr>
        <w:t>Le GRD</w:t>
      </w:r>
      <w:r w:rsidRPr="00A27113">
        <w:rPr>
          <w:szCs w:val="18"/>
        </w:rPr>
        <w:t xml:space="preserve"> met à disposition du Client, sur son </w:t>
      </w:r>
      <w:r>
        <w:rPr>
          <w:szCs w:val="18"/>
        </w:rPr>
        <w:t>Site internet</w:t>
      </w:r>
      <w:r w:rsidR="005937AF">
        <w:rPr>
          <w:szCs w:val="18"/>
        </w:rPr>
        <w:t xml:space="preserve"> </w:t>
      </w:r>
      <w:r w:rsidRPr="004D2399">
        <w:rPr>
          <w:noProof/>
          <w:szCs w:val="18"/>
        </w:rPr>
        <w:t>ree-elbeuf.com</w:t>
      </w:r>
      <w:r>
        <w:rPr>
          <w:szCs w:val="18"/>
        </w:rPr>
        <w:t xml:space="preserve"> </w:t>
      </w:r>
      <w:r w:rsidRPr="00A27113">
        <w:t>,</w:t>
      </w:r>
      <w:r w:rsidRPr="00A27113">
        <w:rPr>
          <w:szCs w:val="18"/>
        </w:rPr>
        <w:t xml:space="preserve"> des informations sur les précautions élémentaires à mettre en œuvre pour que l’installation intérieure et les appareils électriques du Client supportent les conséquences de perturbations sur le réseau et évitent de perturber le RPD.</w:t>
      </w:r>
      <w:r w:rsidRPr="00A27113">
        <w:t xml:space="preserve"> </w:t>
      </w:r>
    </w:p>
    <w:p w14:paraId="067DF178" w14:textId="77777777" w:rsidR="00A95F3E" w:rsidRPr="00A27113" w:rsidRDefault="00A95F3E" w:rsidP="004A71F0">
      <w:pPr>
        <w:pStyle w:val="Titre3"/>
      </w:pPr>
      <w:bookmarkStart w:id="55" w:name="_Toc77686064"/>
      <w:r w:rsidRPr="00A27113">
        <w:t>Niveaux de perturbations admissibles</w:t>
      </w:r>
      <w:bookmarkEnd w:id="55"/>
    </w:p>
    <w:p w14:paraId="28A53DB8" w14:textId="77777777" w:rsidR="00A95F3E" w:rsidRPr="00A27113" w:rsidRDefault="00A95F3E" w:rsidP="004A71F0">
      <w:pPr>
        <w:rPr>
          <w:szCs w:val="18"/>
        </w:rPr>
      </w:pPr>
      <w:r w:rsidRPr="00A27113">
        <w:rPr>
          <w:szCs w:val="18"/>
        </w:rPr>
        <w:t>Le Client a l’obligation de mettre en place un système de protection capable de protéger son installation contre les aléas d’origine interne ou en provenance du RPD. Ce système de protection doit être capable d’isoler rapidement l’installation du RPD, notamment en cas de défaut interne, dans des conditions qui préservent la sécurité des personnes et des biens et qui ne perturbent pas le fonctionnement des réseaux sains.</w:t>
      </w:r>
    </w:p>
    <w:p w14:paraId="663D8D5D" w14:textId="77777777" w:rsidR="00A95F3E" w:rsidRPr="00A27113" w:rsidRDefault="00A95F3E" w:rsidP="004A71F0">
      <w:pPr>
        <w:rPr>
          <w:szCs w:val="18"/>
        </w:rPr>
      </w:pPr>
      <w:r w:rsidRPr="00A27113">
        <w:rPr>
          <w:szCs w:val="18"/>
        </w:rPr>
        <w:t xml:space="preserve">Le Client a l'obligation de prendre les mesures nécessaires pour que son installation n’émette pas sur le RPD des perturbations dont le niveau dépasse les limites données dans les articles ci-dessous. Le Client s'engage par ailleurs à informer </w:t>
      </w:r>
      <w:r>
        <w:rPr>
          <w:szCs w:val="18"/>
        </w:rPr>
        <w:t>le GRD</w:t>
      </w:r>
      <w:r w:rsidRPr="00A27113">
        <w:rPr>
          <w:szCs w:val="18"/>
        </w:rPr>
        <w:t xml:space="preserve"> via le Fournisseur des modifications de ses installations susceptibles d'entraîner un dépassement de ces limites. Si, à l'issue de l'étude technique menée alors par </w:t>
      </w:r>
      <w:r>
        <w:rPr>
          <w:szCs w:val="18"/>
        </w:rPr>
        <w:t>le GRD</w:t>
      </w:r>
      <w:r w:rsidRPr="00A27113">
        <w:rPr>
          <w:szCs w:val="18"/>
        </w:rPr>
        <w:t xml:space="preserve">, il s'avère que les valeurs de perturbations au Point de Livraison dépassent les limites réglementaires, le Client est tenu soit d'installer des équipements complémentaires permettant de limiter lesdites perturbations, soit de demander </w:t>
      </w:r>
      <w:r>
        <w:rPr>
          <w:szCs w:val="18"/>
        </w:rPr>
        <w:t>au GRD</w:t>
      </w:r>
      <w:r w:rsidRPr="00A27113">
        <w:rPr>
          <w:szCs w:val="18"/>
        </w:rPr>
        <w:t xml:space="preserve"> via le Fournisseur de lui faire une nouvelle offre de raccordement permettant de raccorder le Site en limitant les perturbations aux autres Utilisateurs du RPD.</w:t>
      </w:r>
    </w:p>
    <w:p w14:paraId="62651A99" w14:textId="77777777" w:rsidR="00A95F3E" w:rsidRPr="00A27113" w:rsidRDefault="00A95F3E" w:rsidP="004A71F0">
      <w:pPr>
        <w:pStyle w:val="Titre4"/>
      </w:pPr>
      <w:r w:rsidRPr="00A27113">
        <w:t>Courants harmoniques</w:t>
      </w:r>
    </w:p>
    <w:p w14:paraId="5BBA5C69" w14:textId="77777777" w:rsidR="00A95F3E" w:rsidRPr="00A27113" w:rsidRDefault="00A95F3E" w:rsidP="004A71F0">
      <w:pPr>
        <w:rPr>
          <w:szCs w:val="18"/>
        </w:rPr>
      </w:pPr>
      <w:r w:rsidRPr="00A27113">
        <w:rPr>
          <w:szCs w:val="18"/>
        </w:rPr>
        <w:t xml:space="preserve">Le niveau de contribution de l’installation à la distorsion de la tension doit être limité à des valeurs permettant </w:t>
      </w:r>
      <w:r>
        <w:rPr>
          <w:szCs w:val="18"/>
        </w:rPr>
        <w:t>au GRD</w:t>
      </w:r>
      <w:r w:rsidRPr="00A27113">
        <w:rPr>
          <w:szCs w:val="18"/>
        </w:rPr>
        <w:t xml:space="preserve"> de respecter les limites admissibles en matière de qualité de l’électricité livrée aux autres utilisateurs</w:t>
      </w:r>
    </w:p>
    <w:p w14:paraId="17781984" w14:textId="77777777" w:rsidR="00A95F3E" w:rsidRPr="00A27113" w:rsidRDefault="00A95F3E" w:rsidP="004A71F0">
      <w:pPr>
        <w:rPr>
          <w:szCs w:val="18"/>
        </w:rPr>
      </w:pPr>
      <w:r w:rsidRPr="00A27113">
        <w:rPr>
          <w:szCs w:val="18"/>
        </w:rPr>
        <w:t>Les appareils et les installations doivent être conformes aux textes réglementaires et normatifs pertinents.</w:t>
      </w:r>
    </w:p>
    <w:p w14:paraId="7577899C" w14:textId="77777777" w:rsidR="00A95F3E" w:rsidRPr="00A27113" w:rsidRDefault="00A95F3E" w:rsidP="004A71F0">
      <w:pPr>
        <w:pStyle w:val="Titre4"/>
      </w:pPr>
      <w:r w:rsidRPr="00A27113">
        <w:t>Déséquilibre de la tension</w:t>
      </w:r>
    </w:p>
    <w:p w14:paraId="05E70968" w14:textId="77777777" w:rsidR="00A95F3E" w:rsidRPr="00A27113" w:rsidRDefault="00A95F3E" w:rsidP="004A71F0">
      <w:pPr>
        <w:rPr>
          <w:szCs w:val="18"/>
        </w:rPr>
      </w:pPr>
      <w:r w:rsidRPr="00A27113">
        <w:rPr>
          <w:szCs w:val="18"/>
        </w:rPr>
        <w:t xml:space="preserve">Le niveau de contribution de l’installation au déséquilibre doit être limité à une valeur permettant </w:t>
      </w:r>
      <w:r>
        <w:rPr>
          <w:szCs w:val="18"/>
        </w:rPr>
        <w:t>au GRD</w:t>
      </w:r>
      <w:r w:rsidRPr="00A27113">
        <w:rPr>
          <w:szCs w:val="18"/>
        </w:rPr>
        <w:t xml:space="preserve"> de respecter le taux moyen de composante inverse de tension de 2% de la composante directe.</w:t>
      </w:r>
    </w:p>
    <w:p w14:paraId="0B608545" w14:textId="77777777" w:rsidR="00A95F3E" w:rsidRPr="00A27113" w:rsidRDefault="00A95F3E" w:rsidP="004A71F0">
      <w:pPr>
        <w:pStyle w:val="Titre4"/>
      </w:pPr>
      <w:r w:rsidRPr="00A27113">
        <w:t>Fluctuation de tension</w:t>
      </w:r>
    </w:p>
    <w:p w14:paraId="10E55B2C" w14:textId="77777777" w:rsidR="00A95F3E" w:rsidRPr="00A27113" w:rsidRDefault="00A95F3E" w:rsidP="004A71F0">
      <w:pPr>
        <w:rPr>
          <w:szCs w:val="18"/>
        </w:rPr>
      </w:pPr>
      <w:r w:rsidRPr="00A27113">
        <w:rPr>
          <w:szCs w:val="18"/>
        </w:rPr>
        <w:t xml:space="preserve">Le niveau de contribution de l’installation au papillotement doit être limité à une valeur permettant </w:t>
      </w:r>
      <w:r>
        <w:rPr>
          <w:szCs w:val="18"/>
        </w:rPr>
        <w:t>au GRD</w:t>
      </w:r>
      <w:r w:rsidRPr="00A27113">
        <w:rPr>
          <w:szCs w:val="18"/>
        </w:rPr>
        <w:t xml:space="preserve"> de respecter la limite admissible de Plt inférieur ou égal à 1. Les appareils des installations doivent être conformes aux textes réglementaires et normatifs pertinents.</w:t>
      </w:r>
    </w:p>
    <w:p w14:paraId="49E755D0" w14:textId="77777777" w:rsidR="00A95F3E" w:rsidRPr="00A27113" w:rsidRDefault="00A95F3E" w:rsidP="004A71F0">
      <w:pPr>
        <w:pStyle w:val="Titre1"/>
      </w:pPr>
      <w:bookmarkStart w:id="56" w:name="_Toc77686065"/>
      <w:r w:rsidRPr="00A27113">
        <w:t>Responsable d’Equilibre</w:t>
      </w:r>
      <w:bookmarkEnd w:id="56"/>
    </w:p>
    <w:p w14:paraId="4AD3FA8F" w14:textId="77777777" w:rsidR="00A95F3E" w:rsidRPr="00A27113" w:rsidRDefault="00A95F3E" w:rsidP="004A71F0">
      <w:pPr>
        <w:rPr>
          <w:szCs w:val="18"/>
        </w:rPr>
      </w:pPr>
      <w:r w:rsidRPr="00A27113">
        <w:rPr>
          <w:szCs w:val="18"/>
        </w:rPr>
        <w:t xml:space="preserve">En application des articles L321-10 et L321-15 du code de l’énergie et afin de garantir l'équilibre général des Réseaux en compensant les Écarts 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w:t>
      </w:r>
      <w:hyperlink r:id="rId14" w:history="1">
        <w:r w:rsidRPr="00A27113">
          <w:rPr>
            <w:rStyle w:val="Lienhypertexte"/>
            <w:szCs w:val="18"/>
          </w:rPr>
          <w:t>http://clients.rte-france.com/</w:t>
        </w:r>
      </w:hyperlink>
      <w:r w:rsidRPr="00A27113">
        <w:rPr>
          <w:szCs w:val="18"/>
        </w:rPr>
        <w:t xml:space="preserve">. Ce mécanisme concerne l'ensemble des consommateurs et producteurs, qu'ils soient raccordés au RPT d'électricité ou au RPD. La mise en œuvre effective de ce mécanisme repose sur l'identification du périmètre du Responsable d'Equilibre au sein duquel RTE calcule l'Écart. </w:t>
      </w:r>
    </w:p>
    <w:p w14:paraId="41400C4D" w14:textId="77777777" w:rsidR="00A95F3E" w:rsidRPr="00A27113" w:rsidRDefault="00A95F3E" w:rsidP="004A71F0">
      <w:pPr>
        <w:rPr>
          <w:szCs w:val="18"/>
        </w:rPr>
      </w:pPr>
      <w:r w:rsidRPr="00A27113">
        <w:rPr>
          <w:szCs w:val="18"/>
        </w:rPr>
        <w:t xml:space="preserve">A cette fin, RTE doit être informé, d'une part, de la quantité des productions injectées et des consommations soutirées au RPD (mesurées conformément au chapitre </w:t>
      </w:r>
      <w:r>
        <w:t>3</w:t>
      </w:r>
      <w:r w:rsidRPr="00A27113">
        <w:rPr>
          <w:szCs w:val="18"/>
        </w:rPr>
        <w:t xml:space="preserve"> des présentes dispositions générales) et, d'autre part, des Fournitures Déclarées échangées entre Périmètres d’Equilibre.</w:t>
      </w:r>
    </w:p>
    <w:p w14:paraId="5124C355" w14:textId="77777777" w:rsidR="00A95F3E" w:rsidRPr="00A27113" w:rsidRDefault="00A95F3E" w:rsidP="004A71F0">
      <w:pPr>
        <w:rPr>
          <w:szCs w:val="18"/>
        </w:rPr>
      </w:pPr>
      <w:r w:rsidRPr="00A27113">
        <w:rPr>
          <w:szCs w:val="18"/>
        </w:rPr>
        <w:t xml:space="preserve">Pour l'exécution de leurs missions respectives, </w:t>
      </w:r>
      <w:r>
        <w:rPr>
          <w:szCs w:val="18"/>
        </w:rPr>
        <w:t>le GRD</w:t>
      </w:r>
      <w:r w:rsidRPr="00A27113">
        <w:rPr>
          <w:szCs w:val="18"/>
        </w:rPr>
        <w:t xml:space="preserve"> et RTE s'échangent, dans le cadre de l'article R111-29 du code de l’énergie, des informations relatives au Périmètre d’Equilibre et aux quantités d'énergie déclarées et mesurées.</w:t>
      </w:r>
    </w:p>
    <w:p w14:paraId="0A667A29" w14:textId="77777777" w:rsidR="00A95F3E" w:rsidRPr="00A27113" w:rsidRDefault="00A95F3E" w:rsidP="004A71F0">
      <w:pPr>
        <w:rPr>
          <w:szCs w:val="18"/>
        </w:rPr>
      </w:pPr>
      <w:r w:rsidRPr="00A27113">
        <w:rPr>
          <w:szCs w:val="18"/>
        </w:rPr>
        <w:t>Le ou les Sites tels que définis dans le Contrat Unique concerné sont rattachés au Périmètre-RPD du Responsable d’Equilibre désigné par le Fournisseur.</w:t>
      </w:r>
    </w:p>
    <w:p w14:paraId="1869280D" w14:textId="77777777" w:rsidR="00A95F3E" w:rsidRPr="00A27113" w:rsidRDefault="00A95F3E" w:rsidP="0077150C">
      <w:pPr>
        <w:rPr>
          <w:szCs w:val="18"/>
        </w:rPr>
      </w:pPr>
      <w:r w:rsidRPr="00A27113">
        <w:rPr>
          <w:szCs w:val="18"/>
        </w:rPr>
        <w:t>La date d’entrée et la date de sortie d'un Point de Livraison du Périmètre-RPD du Responsable d’Equilibre correspondent respectivement à la date d'effet du Contrat Unique et à la date de fin du Contrat Unique concerné.</w:t>
      </w:r>
    </w:p>
    <w:p w14:paraId="15323432" w14:textId="77777777" w:rsidR="00A95F3E" w:rsidRPr="00A27113" w:rsidRDefault="00A95F3E" w:rsidP="004A71F0">
      <w:pPr>
        <w:pStyle w:val="Titre1"/>
      </w:pPr>
      <w:bookmarkStart w:id="57" w:name="_Toc77686066"/>
      <w:r w:rsidRPr="00A27113">
        <w:t>Tarification de l’accès et de l’utilisation du Réseau Public de Distribution</w:t>
      </w:r>
      <w:bookmarkEnd w:id="57"/>
    </w:p>
    <w:p w14:paraId="420921DA" w14:textId="77777777" w:rsidR="00A95F3E" w:rsidRPr="00A27113" w:rsidRDefault="00A95F3E" w:rsidP="004A71F0">
      <w:r w:rsidRPr="00A27113">
        <w:t>La formule tarifaire d’acheminement est applicable, en chaque Point de Livraison, pour l’intégralité d’une période de douze mois consécutifs, quel que soit le Fournisseur, conformément au TURPE.</w:t>
      </w:r>
    </w:p>
    <w:p w14:paraId="7364912B" w14:textId="77777777" w:rsidR="00A95F3E" w:rsidRPr="00A27113" w:rsidRDefault="00A95F3E" w:rsidP="004A71F0">
      <w:r w:rsidRPr="00A27113">
        <w:t xml:space="preserve">Le Fournisseur informe le Client sur les formules tarifaires d’acheminement du TURPE qui peuvent être appliquées au Point de Connexion concerné, au titre de l’accès au RPD et de son utilisation, ainsi que sur les prestations réalisables par </w:t>
      </w:r>
      <w:r>
        <w:t>le GRD</w:t>
      </w:r>
      <w:r w:rsidRPr="00A27113">
        <w:t>.</w:t>
      </w:r>
    </w:p>
    <w:p w14:paraId="74220AD1" w14:textId="77777777" w:rsidR="00A95F3E" w:rsidRPr="00A27113" w:rsidRDefault="00A95F3E" w:rsidP="004A71F0">
      <w:r w:rsidRPr="00A27113">
        <w:t xml:space="preserve">La formule tarifaire d’acheminement est choisie par le Fournisseur. </w:t>
      </w:r>
      <w:r>
        <w:t>Le GRD</w:t>
      </w:r>
      <w:r w:rsidRPr="00A27113">
        <w:t xml:space="preserve"> n'est responsable ni du choix initial, ni des éventuelles évolutions ultérieures, de la formule tarifaire d’acheminement appliquée au Point de Connexion du Client au titre de l’accès au RPD et de son utilisation.</w:t>
      </w:r>
    </w:p>
    <w:p w14:paraId="5905D8DA" w14:textId="77777777" w:rsidR="00A95F3E" w:rsidRPr="00A27113" w:rsidRDefault="00A95F3E" w:rsidP="004A71F0">
      <w:r w:rsidRPr="00A27113">
        <w:t xml:space="preserve">Les données de comptage transmises par </w:t>
      </w:r>
      <w:r>
        <w:t>le GRD</w:t>
      </w:r>
      <w:r w:rsidRPr="00A27113">
        <w:t xml:space="preserve"> au Fournisseur pour la facturation de l’accès au RPD et son utilisation sont fonction de la formule tarifaire d’acheminement adoptée pour le Point de Connexion concerné.</w:t>
      </w:r>
    </w:p>
    <w:p w14:paraId="505D16CF" w14:textId="77777777" w:rsidR="00A95F3E" w:rsidRPr="00A27113" w:rsidRDefault="00A95F3E" w:rsidP="004A71F0">
      <w:r w:rsidRPr="00A27113">
        <w:t>Conformément à l'article L224-11 du code de la con</w:t>
      </w:r>
      <w:r>
        <w:t xml:space="preserve">sommation, aucune consommation </w:t>
      </w:r>
      <w:r w:rsidRPr="00A27113">
        <w:t>antérieure de plus de quatorze mois au dernier relevé ou auto-relevé ne peut être imputée au Client, sauf dans les deux cas suivants :</w:t>
      </w:r>
    </w:p>
    <w:p w14:paraId="1E40E775" w14:textId="77777777" w:rsidR="00A95F3E" w:rsidRPr="00A27113" w:rsidRDefault="00A95F3E" w:rsidP="004A71F0">
      <w:pPr>
        <w:pStyle w:val="SPuce"/>
      </w:pPr>
      <w:r w:rsidRPr="00A27113">
        <w:t>lors</w:t>
      </w:r>
      <w:r>
        <w:t>que le GRD</w:t>
      </w:r>
      <w:r w:rsidRPr="00A27113">
        <w:t xml:space="preserve"> a signifié au Client par lettre recommandée avec demande d’avis de réception, le défaut d’accès au compteur et l’absence de transmission par le Client d’un index relatif à sa consommation réelle ;</w:t>
      </w:r>
    </w:p>
    <w:p w14:paraId="3AFC2854" w14:textId="77777777" w:rsidR="00A95F3E" w:rsidRPr="00A27113" w:rsidRDefault="00A95F3E" w:rsidP="004A71F0">
      <w:pPr>
        <w:pStyle w:val="SPuce"/>
      </w:pPr>
      <w:r w:rsidRPr="00A27113">
        <w:t>en cas de fraude.</w:t>
      </w:r>
    </w:p>
    <w:p w14:paraId="76A3FA86" w14:textId="77777777" w:rsidR="00A95F3E" w:rsidRPr="00A27113" w:rsidRDefault="00A95F3E" w:rsidP="00512669">
      <w:r w:rsidRPr="00A27113">
        <w:t xml:space="preserve">Conformément aux dispositions de la délibération de la CRE du 12 décembre 2013 relative aux tarifs d’utilisation du RPD, </w:t>
      </w:r>
      <w:r>
        <w:t>le GRD</w:t>
      </w:r>
      <w:r w:rsidRPr="00A27113">
        <w:t xml:space="preserve"> peut être amené à modifier les Classes Temporelles du TURPE en fonction des conditions d’exploitation et de la capacité locale des réseaux publics. </w:t>
      </w:r>
      <w:r>
        <w:t>Le GRD</w:t>
      </w:r>
      <w:r w:rsidRPr="00A27113">
        <w:t xml:space="preserve"> informe le Fournisseur au moins six mois avant la date effective de cette modification, à charge pour ce dernier d'en informer le Client en application du Contrat Unique. Le Client peut consulter à titre indicatif les Class</w:t>
      </w:r>
      <w:r>
        <w:t>es Temporelles s'appliquant sur</w:t>
      </w:r>
      <w:r w:rsidRPr="00A27113">
        <w:t xml:space="preserve"> sa commune  sur le </w:t>
      </w:r>
      <w:r>
        <w:t>Site internet</w:t>
      </w:r>
      <w:r w:rsidRPr="00A27113">
        <w:t xml:space="preserve"> </w:t>
      </w:r>
      <w:r>
        <w:t>du GRD</w:t>
      </w:r>
      <w:r w:rsidRPr="00A27113">
        <w:t>. Conformément au TURPE en vigueur, les heures réelles de début et de fin des périodes tarifaires peuvent s’écarter de quelques minutes des horaires théoriques des plages temporelles déterminées localement.</w:t>
      </w:r>
    </w:p>
    <w:p w14:paraId="0BCEE8FC" w14:textId="77777777" w:rsidR="00A95F3E" w:rsidRPr="00A27113" w:rsidRDefault="00A95F3E" w:rsidP="00512669">
      <w:r w:rsidRPr="00A27113">
        <w:t xml:space="preserve">A titre d’information, dans le cas d’un utilisateur autoconsommateur disposant, pour un même point de connexion, d’un contrat en injection et d’un contrat en soutirage, ou d’un contrat associant injection et soutirage, le montant de la composante de gestion spécifique auto-producteur, prévue par le TURPE, </w:t>
      </w:r>
      <w:r>
        <w:rPr>
          <w:noProof/>
        </w:rPr>
        <w:t>est porté par le contrat d’accès au réseau en soutirage</w:t>
      </w:r>
      <w:r w:rsidRPr="00A27113">
        <w:t>.</w:t>
      </w:r>
    </w:p>
    <w:p w14:paraId="1BCCBA3B" w14:textId="77777777" w:rsidR="00A95F3E" w:rsidRPr="00A27113" w:rsidRDefault="00A95F3E" w:rsidP="004A71F0"/>
    <w:p w14:paraId="18112322" w14:textId="77777777" w:rsidR="00A95F3E" w:rsidRPr="00A27113" w:rsidRDefault="00A95F3E" w:rsidP="004A71F0">
      <w:pPr>
        <w:pStyle w:val="Titre1"/>
      </w:pPr>
      <w:bookmarkStart w:id="58" w:name="_Toc77686067"/>
      <w:r w:rsidRPr="00A27113">
        <w:t>Règles de sécurité</w:t>
      </w:r>
      <w:bookmarkEnd w:id="58"/>
    </w:p>
    <w:p w14:paraId="647D7D95" w14:textId="77777777" w:rsidR="00A95F3E" w:rsidRPr="00A27113" w:rsidRDefault="00A95F3E" w:rsidP="004A71F0">
      <w:pPr>
        <w:pStyle w:val="STitre2"/>
      </w:pPr>
      <w:bookmarkStart w:id="59" w:name="_Toc77686068"/>
      <w:r w:rsidRPr="00A27113">
        <w:t>Règles générales de sécurité</w:t>
      </w:r>
      <w:bookmarkEnd w:id="59"/>
    </w:p>
    <w:p w14:paraId="3D4799BE" w14:textId="3300DD66" w:rsidR="00A95F3E" w:rsidRPr="00A27113" w:rsidRDefault="00A95F3E" w:rsidP="004A71F0">
      <w:r w:rsidRPr="00A27113">
        <w:t xml:space="preserve">La distribution de l’énergie électrique par </w:t>
      </w:r>
      <w:r>
        <w:t>le GRD</w:t>
      </w:r>
      <w:r w:rsidRPr="00A27113">
        <w:t xml:space="preserve"> et son utilisation par le Client sont effectué</w:t>
      </w:r>
      <w:r w:rsidR="004440EF">
        <w:t>e</w:t>
      </w:r>
      <w:r w:rsidRPr="00A27113">
        <w:t xml:space="preserve">s en se conformant strictement à la réglementation applicable relative à l’électricité et la sécurité. </w:t>
      </w:r>
    </w:p>
    <w:p w14:paraId="7EE1D4FA" w14:textId="77777777" w:rsidR="00A95F3E" w:rsidRPr="00A27113" w:rsidRDefault="00A95F3E" w:rsidP="004A71F0">
      <w:pPr>
        <w:pStyle w:val="STitre2"/>
      </w:pPr>
      <w:bookmarkStart w:id="60" w:name="_Toc77686069"/>
      <w:r w:rsidRPr="00A27113">
        <w:t>Installation électrique intérieure du Client</w:t>
      </w:r>
      <w:bookmarkEnd w:id="60"/>
    </w:p>
    <w:p w14:paraId="38B47B8C" w14:textId="77777777" w:rsidR="00A95F3E" w:rsidRPr="00A27113" w:rsidRDefault="00A95F3E" w:rsidP="004A71F0">
      <w:r w:rsidRPr="00A27113">
        <w:t>L’installation électrique intérieure du Client commence aux bornes de sortie du Disjoncteur de branchement.</w:t>
      </w:r>
    </w:p>
    <w:p w14:paraId="7EF48618" w14:textId="77777777" w:rsidR="00A95F3E" w:rsidRPr="00A27113" w:rsidRDefault="00A95F3E" w:rsidP="004A71F0">
      <w:r w:rsidRPr="00A27113">
        <w:t xml:space="preserve">L’installation intérieure est placée sous la responsabilité du Client. Elle doit avoir été réalisée conformément aux textes et normes en vigueur – en particulier la norme NF C 15-100, disponible auprès de l’AFNOR. Elle est entretenue de manière à éviter tout trouble de fonctionnement sur le RPD exploité par </w:t>
      </w:r>
      <w:r>
        <w:t>le GRD</w:t>
      </w:r>
      <w:r w:rsidRPr="00A27113">
        <w:t>, et à ne pas compromettre la sécurité des personnes qui interviennent sur ce réseau, ni celle du public.</w:t>
      </w:r>
    </w:p>
    <w:p w14:paraId="05C93791" w14:textId="77777777" w:rsidR="00A95F3E" w:rsidRPr="00A27113" w:rsidRDefault="00A95F3E" w:rsidP="004A71F0">
      <w:r w:rsidRPr="00A27113">
        <w:t xml:space="preserve">Le Client doit veiller à la conformité aux normes applicables de ses appareils et installations électriques. </w:t>
      </w:r>
    </w:p>
    <w:p w14:paraId="13655812" w14:textId="77777777" w:rsidR="00A95F3E" w:rsidRPr="00A27113" w:rsidRDefault="00A95F3E" w:rsidP="004A71F0">
      <w:r w:rsidRPr="00A27113">
        <w:t xml:space="preserve">En aucun cas, </w:t>
      </w:r>
      <w:r>
        <w:t>le GRD</w:t>
      </w:r>
      <w:r w:rsidRPr="00A27113">
        <w:t xml:space="preserve"> n'encourt de responsabilité en raison de la défectuosité ou d’un défaut de sécurité de l’installation intérieure du Client.</w:t>
      </w:r>
    </w:p>
    <w:p w14:paraId="31F06C54" w14:textId="1FF3295F" w:rsidR="00A95F3E" w:rsidRDefault="00A95F3E" w:rsidP="004A71F0">
      <w:pPr>
        <w:rPr>
          <w:b/>
          <w:color w:val="FF0000"/>
        </w:rPr>
      </w:pPr>
      <w:r>
        <w:t>Le GRD</w:t>
      </w:r>
      <w:r w:rsidRPr="00A27113">
        <w:t xml:space="preserve"> met à disposition du Client, sur son </w:t>
      </w:r>
      <w:r>
        <w:t>S</w:t>
      </w:r>
      <w:r w:rsidRPr="00A27113">
        <w:t xml:space="preserve">ite internet </w:t>
      </w:r>
      <w:r w:rsidR="005937AF">
        <w:rPr>
          <w:noProof/>
        </w:rPr>
        <w:t>ree-elbeuf.com</w:t>
      </w:r>
      <w:r w:rsidR="005937AF">
        <w:t xml:space="preserve"> </w:t>
      </w:r>
      <w:r w:rsidRPr="00A27113">
        <w:t>à la page</w:t>
      </w:r>
      <w:r>
        <w:t xml:space="preserve"> </w:t>
      </w:r>
      <w:r w:rsidRPr="00A27113">
        <w:t xml:space="preserve">des informations sur les règles de sécurité à mettre en œuvre pour que l’installation intérieure et les appareils électriques du Client supportent les conséquences de perturbations sur le réseau et évitent de perturber le RPD. </w:t>
      </w:r>
    </w:p>
    <w:p w14:paraId="6F78986C" w14:textId="77777777" w:rsidR="00A95F3E" w:rsidRPr="00A27113" w:rsidRDefault="00A95F3E" w:rsidP="004A71F0"/>
    <w:p w14:paraId="007C5323" w14:textId="77777777" w:rsidR="00A95F3E" w:rsidRPr="00A27113" w:rsidRDefault="00A95F3E" w:rsidP="004A71F0">
      <w:pPr>
        <w:pStyle w:val="Titre1"/>
      </w:pPr>
      <w:bookmarkStart w:id="61" w:name="_Toc77686070"/>
      <w:r w:rsidRPr="00A27113">
        <w:t>Responsabilité</w:t>
      </w:r>
      <w:bookmarkEnd w:id="61"/>
    </w:p>
    <w:p w14:paraId="3C8E0868" w14:textId="77777777" w:rsidR="00A95F3E" w:rsidRPr="00A27113" w:rsidRDefault="00A95F3E" w:rsidP="004A71F0">
      <w:pPr>
        <w:pStyle w:val="STitre2"/>
      </w:pPr>
      <w:bookmarkStart w:id="62" w:name="_Toc77686071"/>
      <w:r w:rsidRPr="00A27113">
        <w:t xml:space="preserve">Responsabilité </w:t>
      </w:r>
      <w:r>
        <w:t>du GRD</w:t>
      </w:r>
      <w:r w:rsidRPr="00A27113">
        <w:t xml:space="preserve"> vis-à-vis du Client</w:t>
      </w:r>
      <w:bookmarkEnd w:id="62"/>
    </w:p>
    <w:p w14:paraId="2FE55B72" w14:textId="77777777" w:rsidR="00A95F3E" w:rsidRPr="00A27113" w:rsidRDefault="00A95F3E" w:rsidP="004A71F0">
      <w:pPr>
        <w:pStyle w:val="Titre3"/>
      </w:pPr>
      <w:bookmarkStart w:id="63" w:name="_Toc77686072"/>
      <w:r w:rsidRPr="00A27113">
        <w:t xml:space="preserve">Engagement et responsabilité </w:t>
      </w:r>
      <w:r>
        <w:t>du GRD</w:t>
      </w:r>
      <w:r w:rsidRPr="00A27113">
        <w:t xml:space="preserve"> vis-à-vis du Client</w:t>
      </w:r>
      <w:bookmarkEnd w:id="63"/>
    </w:p>
    <w:p w14:paraId="0CF1E54E" w14:textId="77777777" w:rsidR="00A95F3E" w:rsidRPr="00A27113" w:rsidRDefault="00A95F3E" w:rsidP="004A71F0">
      <w:r>
        <w:t>Le GRD</w:t>
      </w:r>
      <w:r w:rsidRPr="00A27113">
        <w:t xml:space="preserve"> est seul responsable des dommages directs et certains causés au Client en cas de non-respect d’une ou plusieurs des obligations, vis-à-vis du Client, mises à sa charge aux termes du contrat GRD-F.</w:t>
      </w:r>
    </w:p>
    <w:p w14:paraId="36F6A05A" w14:textId="77777777" w:rsidR="00A95F3E" w:rsidRPr="00A27113" w:rsidRDefault="00A95F3E" w:rsidP="004A71F0">
      <w:r w:rsidRPr="00A27113">
        <w:t xml:space="preserve">Le Client dispose d’un droit contractuel direct à l’encontre </w:t>
      </w:r>
      <w:r>
        <w:t>du GRD</w:t>
      </w:r>
      <w:r w:rsidRPr="00A27113">
        <w:t xml:space="preserve"> pour les engagements </w:t>
      </w:r>
      <w:r>
        <w:t>du GRD</w:t>
      </w:r>
      <w:r w:rsidRPr="00A27113">
        <w:t xml:space="preserve"> vis-à-vis du Client contenus dans le contrat GRD-F.</w:t>
      </w:r>
    </w:p>
    <w:p w14:paraId="2E726D52" w14:textId="77777777" w:rsidR="00A95F3E" w:rsidRPr="00A27113" w:rsidRDefault="00A95F3E" w:rsidP="004A71F0">
      <w:r w:rsidRPr="00A27113">
        <w:t xml:space="preserve">Tout engagement complémentaire ou différent que le Fournisseur aurait souscrit envers ses Clients ne saurait être opposable </w:t>
      </w:r>
      <w:r>
        <w:t>au GRD</w:t>
      </w:r>
      <w:r w:rsidRPr="00A27113">
        <w:t xml:space="preserve"> et engage le Fournisseur seul à l’égard de ses Clients.</w:t>
      </w:r>
    </w:p>
    <w:p w14:paraId="76D8A758" w14:textId="77777777" w:rsidR="00A95F3E" w:rsidRPr="00A27113" w:rsidRDefault="00A95F3E" w:rsidP="004A71F0">
      <w:pPr>
        <w:pStyle w:val="Titre3"/>
      </w:pPr>
      <w:r w:rsidRPr="00A27113">
        <w:t xml:space="preserve"> </w:t>
      </w:r>
      <w:bookmarkStart w:id="64" w:name="_Toc77686073"/>
      <w:r w:rsidRPr="00A27113">
        <w:t>Traitement des réclamations du Client</w:t>
      </w:r>
      <w:bookmarkEnd w:id="64"/>
    </w:p>
    <w:p w14:paraId="7098E2E3" w14:textId="77777777" w:rsidR="00A95F3E" w:rsidRPr="00A27113" w:rsidRDefault="00A95F3E" w:rsidP="004A71F0">
      <w:r w:rsidRPr="00A27113">
        <w:t xml:space="preserve">En cas de réclamation du Client ayant pour origine un non-respect par </w:t>
      </w:r>
      <w:r>
        <w:t>le GRD</w:t>
      </w:r>
      <w:r w:rsidRPr="00A27113">
        <w:t xml:space="preserve"> de ses obligations, le Client peut, selon son choix, porter sa réclamation :</w:t>
      </w:r>
    </w:p>
    <w:p w14:paraId="34450B7D" w14:textId="77777777" w:rsidR="00A95F3E" w:rsidRPr="00A27113" w:rsidRDefault="00A95F3E" w:rsidP="004A71F0">
      <w:pPr>
        <w:pStyle w:val="SPuce"/>
      </w:pPr>
      <w:r w:rsidRPr="00A27113">
        <w:t xml:space="preserve">soit directement auprès </w:t>
      </w:r>
      <w:r>
        <w:t>du GRD</w:t>
      </w:r>
      <w:r w:rsidRPr="00A27113">
        <w:t xml:space="preserve"> en utilisant le formulaire « Réclamation » disponible sur son </w:t>
      </w:r>
      <w:r>
        <w:t>Site internet</w:t>
      </w:r>
      <w:r w:rsidRPr="00A27113">
        <w:t xml:space="preserve"> ou en lui adressant un courrier, </w:t>
      </w:r>
    </w:p>
    <w:p w14:paraId="57D678F9" w14:textId="77777777" w:rsidR="00A95F3E" w:rsidRPr="00A27113" w:rsidRDefault="00A95F3E" w:rsidP="004A71F0">
      <w:pPr>
        <w:pStyle w:val="SPuce"/>
        <w:rPr>
          <w:rFonts w:cs="Arial"/>
        </w:rPr>
      </w:pPr>
      <w:r w:rsidRPr="00A27113">
        <w:t>soit auprès de son Fournisseur</w:t>
      </w:r>
      <w:r w:rsidRPr="00A27113">
        <w:rPr>
          <w:rFonts w:cs="Arial"/>
        </w:rPr>
        <w:t xml:space="preserve">. </w:t>
      </w:r>
    </w:p>
    <w:p w14:paraId="59EBDBFF" w14:textId="77777777" w:rsidR="00A95F3E" w:rsidRPr="00A27113" w:rsidRDefault="00A95F3E" w:rsidP="004A71F0">
      <w:r w:rsidRPr="00A27113">
        <w:t xml:space="preserve">La réclamation du Client est traitée selon la procédure de règlement amiable décrite aux articles </w:t>
      </w:r>
      <w:r>
        <w:t>9.1.2.1</w:t>
      </w:r>
      <w:r w:rsidRPr="00A27113">
        <w:t xml:space="preserve"> et </w:t>
      </w:r>
      <w:r>
        <w:t>9.1.2.2</w:t>
      </w:r>
      <w:r w:rsidRPr="00A27113">
        <w:t xml:space="preserve"> des présentes dispositions générales.</w:t>
      </w:r>
    </w:p>
    <w:p w14:paraId="4863A2EC" w14:textId="77777777" w:rsidR="00A95F3E" w:rsidRPr="00A27113" w:rsidRDefault="00A95F3E" w:rsidP="004A71F0">
      <w:r w:rsidRPr="00A27113">
        <w:t>Le Client peut saisir à tout moment la juridiction compétente.</w:t>
      </w:r>
    </w:p>
    <w:p w14:paraId="316E170B" w14:textId="77777777" w:rsidR="00A95F3E" w:rsidRPr="00A27113" w:rsidRDefault="00A95F3E" w:rsidP="0077150C">
      <w:r w:rsidRPr="00A27113">
        <w:t xml:space="preserve">Dans l’hypothèse où le Client ou un tiers mandaté assigne </w:t>
      </w:r>
      <w:r>
        <w:t>le GRD</w:t>
      </w:r>
      <w:r w:rsidRPr="00A27113">
        <w:t xml:space="preserve"> ou le Fournisseur, celui contre lequel l’action est dirigée peut</w:t>
      </w:r>
      <w:r>
        <w:t xml:space="preserve"> appeler en garantie l’autre s’</w:t>
      </w:r>
      <w:r w:rsidRPr="00A27113">
        <w:t>il estime de bonne foi que ce dernier est impliqué dans la survenance du dommage subi par le Client.</w:t>
      </w:r>
    </w:p>
    <w:p w14:paraId="6776DCA2" w14:textId="77777777" w:rsidR="00A95F3E" w:rsidRPr="00A27113" w:rsidRDefault="00A95F3E" w:rsidP="0077150C">
      <w:r w:rsidRPr="00A27113">
        <w:t xml:space="preserve">En cas de recours contentieux ou dans le cadre de la procédure décrite dans le présent article, le Fournisseur s’engage à communiquer sur simple demande </w:t>
      </w:r>
      <w:r>
        <w:t>au GRD</w:t>
      </w:r>
      <w:r w:rsidRPr="00A27113">
        <w:t xml:space="preserve"> le Contrat Unique conclu avec le Client. Toutefois, le Fournisseur se réserve le droit de masquer les dispositions du Contrat Unique ne concernant pas l’accès au réseau.</w:t>
      </w:r>
    </w:p>
    <w:p w14:paraId="55FB124F" w14:textId="77777777" w:rsidR="00A95F3E" w:rsidRPr="00A27113" w:rsidRDefault="00A95F3E" w:rsidP="004A71F0">
      <w:pPr>
        <w:pStyle w:val="Titre4"/>
      </w:pPr>
      <w:r w:rsidRPr="00A27113">
        <w:t xml:space="preserve">Dispositions générales pour le traitement des réclamations </w:t>
      </w:r>
    </w:p>
    <w:p w14:paraId="1BFA4A47" w14:textId="77777777" w:rsidR="00A95F3E" w:rsidRPr="00A27113" w:rsidRDefault="00A95F3E" w:rsidP="004A71F0">
      <w:r w:rsidRPr="00A27113">
        <w:t xml:space="preserve">Le Client transmet sa réclamation au Fournisseur ou directement </w:t>
      </w:r>
      <w:r>
        <w:t>au GRD</w:t>
      </w:r>
      <w:r w:rsidRPr="00A27113">
        <w:t>, avec l’ensemble des pièces utiles au traitement de la réclamation.</w:t>
      </w:r>
    </w:p>
    <w:p w14:paraId="6C0036A5" w14:textId="77777777" w:rsidR="00A95F3E" w:rsidRPr="00A27113" w:rsidRDefault="00A95F3E" w:rsidP="0077150C">
      <w:r w:rsidRPr="00A27113">
        <w:t xml:space="preserve">Conformément à l'article </w:t>
      </w:r>
      <w:r>
        <w:t>1.3</w:t>
      </w:r>
      <w:r w:rsidRPr="00A27113">
        <w:t xml:space="preserve"> des présentes dispositions générales, le Fournisseur est chargé du recueil des réclamations du Client relatives au Contrat Unique qui lui sont adressées. </w:t>
      </w:r>
    </w:p>
    <w:p w14:paraId="5F3D4243" w14:textId="77777777" w:rsidR="00A95F3E" w:rsidRPr="00A27113" w:rsidRDefault="00A95F3E" w:rsidP="004A71F0">
      <w:r w:rsidRPr="00A27113">
        <w:t xml:space="preserve">Le Fournisseur transmet </w:t>
      </w:r>
      <w:r>
        <w:t>au GRD</w:t>
      </w:r>
      <w:r w:rsidRPr="00A27113">
        <w:t xml:space="preserve"> dans les cinq jours ouvrés les réclamations qui, au sens de l'article </w:t>
      </w:r>
      <w:r>
        <w:t>9.1</w:t>
      </w:r>
      <w:r w:rsidRPr="00A27113">
        <w:t xml:space="preserve">, concernent </w:t>
      </w:r>
      <w:r>
        <w:t>le GRD</w:t>
      </w:r>
      <w:r w:rsidRPr="00A27113">
        <w:t>, via la Plate-forme d'échanges. A cette occasion, il joint l'ensemble des pièces utiles au traitement de la réclamation du Client qui sont à sa disposition.</w:t>
      </w:r>
    </w:p>
    <w:p w14:paraId="4C23FAF3" w14:textId="77777777" w:rsidR="00A95F3E" w:rsidRPr="00A27113" w:rsidRDefault="00A95F3E" w:rsidP="004A71F0">
      <w:r>
        <w:t>Le GRD</w:t>
      </w:r>
      <w:r w:rsidRPr="00A27113">
        <w:t xml:space="preserve"> accuse réception de la réclamation par envoi d'un courriel à l'adresse électronique du Fournisseur émettrice de la réclamation, ainsi que par une information sur la Plate-forme d'échanges. </w:t>
      </w:r>
    </w:p>
    <w:p w14:paraId="1B5F2AB9" w14:textId="77777777" w:rsidR="00A95F3E" w:rsidRPr="00A27113" w:rsidRDefault="00A95F3E" w:rsidP="0077150C">
      <w:r w:rsidRPr="00A27113">
        <w:t xml:space="preserve">Dans le cas où l'objet de la réclamation est relatif au Contrat Unique, </w:t>
      </w:r>
      <w:r>
        <w:t>le GRD</w:t>
      </w:r>
      <w:r w:rsidRPr="00A27113">
        <w:t xml:space="preserve"> répond, dans un délai de trente jours calendaires, à compter de la date de la réclamation accompagnée de l’ensemble des éléments du dossier, hormis les cas de réclamations consécutives à une situation de crise, au Fournisseur sur la Plate-forme d'échanges et le Fournisseur se charge de la réponse définitive au Client. </w:t>
      </w:r>
    </w:p>
    <w:p w14:paraId="2CF6CB02" w14:textId="77777777" w:rsidR="00A95F3E" w:rsidRPr="00A27113" w:rsidRDefault="00A95F3E" w:rsidP="004A71F0">
      <w:r w:rsidRPr="00A27113">
        <w:t xml:space="preserve">La réponse est portée directement au Client par </w:t>
      </w:r>
      <w:r>
        <w:t>le GRD</w:t>
      </w:r>
      <w:r w:rsidRPr="00A27113">
        <w:t>, dans les mêmes délais que ceux précisés à l’alinéa précédent, dans les cas suivants:</w:t>
      </w:r>
    </w:p>
    <w:p w14:paraId="12D6D05D" w14:textId="77777777" w:rsidR="00A95F3E" w:rsidRPr="00A27113" w:rsidRDefault="00A95F3E" w:rsidP="004A71F0">
      <w:pPr>
        <w:pStyle w:val="SPuce"/>
      </w:pPr>
      <w:r w:rsidRPr="00A27113">
        <w:t>l'objet de la réclamation est relatif à la continuité et/ou à la qualité de l’onde électrique, sur demande du Fournisseur ;</w:t>
      </w:r>
    </w:p>
    <w:p w14:paraId="560441F2" w14:textId="77777777" w:rsidR="00A95F3E" w:rsidRPr="00A27113" w:rsidRDefault="00A95F3E" w:rsidP="004A71F0">
      <w:pPr>
        <w:pStyle w:val="SPuce"/>
      </w:pPr>
      <w:r w:rsidRPr="00A27113">
        <w:t xml:space="preserve">l'objet de la réclamation est hors champ du Contrat Unique et concerne </w:t>
      </w:r>
      <w:r>
        <w:t>le GRD</w:t>
      </w:r>
      <w:r w:rsidRPr="00A27113">
        <w:t xml:space="preserve"> seul ;</w:t>
      </w:r>
    </w:p>
    <w:p w14:paraId="7C62C9A9" w14:textId="77777777" w:rsidR="00A95F3E" w:rsidRPr="00A27113" w:rsidRDefault="00A95F3E" w:rsidP="004A71F0">
      <w:pPr>
        <w:pStyle w:val="SPuce"/>
      </w:pPr>
      <w:r w:rsidRPr="00A27113">
        <w:t xml:space="preserve">le Client a adressé sa réclamation directement </w:t>
      </w:r>
      <w:r>
        <w:t>au GRD</w:t>
      </w:r>
      <w:r w:rsidRPr="00A27113">
        <w:t>.</w:t>
      </w:r>
    </w:p>
    <w:p w14:paraId="74DF560C" w14:textId="77777777" w:rsidR="00A95F3E" w:rsidRPr="00A27113" w:rsidRDefault="00A95F3E" w:rsidP="0077150C">
      <w:r w:rsidRPr="00A27113">
        <w:t xml:space="preserve">Dans les cas précités ci-dessus, </w:t>
      </w:r>
      <w:r>
        <w:t>le GRD</w:t>
      </w:r>
      <w:r w:rsidRPr="00A27113">
        <w:t xml:space="preserve"> informe le Fournisseur de la réponse apportée au Client via la Plate-forme d'échanges.</w:t>
      </w:r>
    </w:p>
    <w:p w14:paraId="36F4FBBA" w14:textId="77777777" w:rsidR="00A95F3E" w:rsidRPr="00A27113" w:rsidRDefault="00A95F3E" w:rsidP="004A71F0">
      <w:r w:rsidRPr="00A27113">
        <w:t>Les réponses apportées au Client doivent mentionner les recours possibles.</w:t>
      </w:r>
    </w:p>
    <w:p w14:paraId="6F69E1AA" w14:textId="77777777" w:rsidR="00A95F3E" w:rsidRPr="00A27113" w:rsidRDefault="00A95F3E" w:rsidP="004A71F0">
      <w:pPr>
        <w:pStyle w:val="Titre4"/>
      </w:pPr>
      <w:r w:rsidRPr="00A27113">
        <w:t>Dispositions complémentaires pour le traitement des réclamations avec demande d’indemnisation</w:t>
      </w:r>
    </w:p>
    <w:p w14:paraId="4C032175" w14:textId="77777777" w:rsidR="00A95F3E" w:rsidRPr="00A27113" w:rsidRDefault="00A95F3E" w:rsidP="0077150C">
      <w:r w:rsidRPr="00A27113">
        <w:t xml:space="preserve">Le Client victime d’un dommage qu’il attribue à une faute ou au non-respect des engagements </w:t>
      </w:r>
      <w:r>
        <w:t>du GRD</w:t>
      </w:r>
      <w:r w:rsidRPr="00A27113">
        <w:t xml:space="preserve"> définis dans les présentes dispositions générales adresse une réclamation en ce sens à son Fournisseur ou </w:t>
      </w:r>
      <w:r>
        <w:t>au GRD</w:t>
      </w:r>
      <w:r w:rsidRPr="00A27113">
        <w:t>. Afin de faciliter le traitement de sa réclamation, il est conseillé au C</w:t>
      </w:r>
      <w:r>
        <w:t>lient d’adresser sa réclamation</w:t>
      </w:r>
      <w:r w:rsidRPr="00A27113">
        <w:t xml:space="preserve"> dans un délai de vingt (20) jours ouvrés par lettre recommandée avec demande d’avis de réception à compter de la survenance du dommage ou de la date à laquelle il en a eu connaissance.</w:t>
      </w:r>
    </w:p>
    <w:p w14:paraId="2F275228" w14:textId="77777777" w:rsidR="00A95F3E" w:rsidRPr="00A27113" w:rsidRDefault="00A95F3E" w:rsidP="004A71F0">
      <w:r w:rsidRPr="00A27113">
        <w:t>La réclamation doit préciser a minima les éléments suivants :</w:t>
      </w:r>
    </w:p>
    <w:p w14:paraId="12879B68" w14:textId="77777777" w:rsidR="00A95F3E" w:rsidRPr="00A27113" w:rsidRDefault="00A95F3E" w:rsidP="004A71F0">
      <w:pPr>
        <w:pStyle w:val="SPuce"/>
      </w:pPr>
      <w:r w:rsidRPr="00A27113">
        <w:t xml:space="preserve">date, lieu et, si possible, heure de(s) l'incident(s) supposé(s) être à l'origine des dommages ; </w:t>
      </w:r>
    </w:p>
    <w:p w14:paraId="77619435" w14:textId="77777777" w:rsidR="00A95F3E" w:rsidRPr="00A27113" w:rsidRDefault="00A95F3E" w:rsidP="004A71F0">
      <w:pPr>
        <w:pStyle w:val="SPuce"/>
      </w:pPr>
      <w:r w:rsidRPr="00A27113">
        <w:t>nature et, si possible, montant estimé des dommages directs et certains.</w:t>
      </w:r>
    </w:p>
    <w:p w14:paraId="757FB4A1" w14:textId="77777777" w:rsidR="00A95F3E" w:rsidRPr="00A27113" w:rsidRDefault="00A95F3E" w:rsidP="004A71F0">
      <w:r w:rsidRPr="00A27113">
        <w:t xml:space="preserve">Si aucun incident n'a été constaté aux dates et heures indiquées dans la réclamation, </w:t>
      </w:r>
      <w:r>
        <w:t>le GRD</w:t>
      </w:r>
      <w:r w:rsidRPr="00A27113">
        <w:t xml:space="preserve"> informe qu'aucune suite ne sera donnée à la demande et clôt l'affaire sur la Plate-forme d'échanges. </w:t>
      </w:r>
    </w:p>
    <w:p w14:paraId="3F417C99" w14:textId="77777777" w:rsidR="00A95F3E" w:rsidRPr="00A27113" w:rsidRDefault="00A95F3E" w:rsidP="004A71F0">
      <w:pPr>
        <w:rPr>
          <w:sz w:val="18"/>
          <w:szCs w:val="18"/>
        </w:rPr>
      </w:pPr>
      <w:r w:rsidRPr="00A27113">
        <w:t xml:space="preserve">Dès que l’incident est confirmé par </w:t>
      </w:r>
      <w:r>
        <w:t>le GRD</w:t>
      </w:r>
      <w:r w:rsidRPr="00A27113">
        <w:t>, le Client doit lui transmettre, le cas échéant via son Fournisseur, un dossier démontrant, à l’aide de toutes pièces et documents nécessaires l’existence de son droit à réparation. Ce dossier contient notamment</w:t>
      </w:r>
      <w:r w:rsidRPr="00A27113">
        <w:rPr>
          <w:sz w:val="18"/>
          <w:szCs w:val="18"/>
        </w:rPr>
        <w:t> :</w:t>
      </w:r>
    </w:p>
    <w:p w14:paraId="4E55DA04" w14:textId="77777777" w:rsidR="00A95F3E" w:rsidRPr="00A27113" w:rsidRDefault="00A95F3E" w:rsidP="004A71F0">
      <w:pPr>
        <w:pStyle w:val="SPuce"/>
      </w:pPr>
      <w:r w:rsidRPr="00A27113">
        <w:t>le fondement de sa demande ;</w:t>
      </w:r>
    </w:p>
    <w:p w14:paraId="4E999C86" w14:textId="77777777" w:rsidR="00A95F3E" w:rsidRPr="00A27113" w:rsidRDefault="00A95F3E" w:rsidP="004A71F0">
      <w:pPr>
        <w:pStyle w:val="SPuce"/>
      </w:pPr>
      <w:r w:rsidRPr="00A27113">
        <w:t>l’existence et l’évaluation précise des dommages directs et certains (poste par poste) ;</w:t>
      </w:r>
    </w:p>
    <w:p w14:paraId="7616AF0C" w14:textId="77777777" w:rsidR="00A95F3E" w:rsidRPr="00A27113" w:rsidRDefault="00A95F3E" w:rsidP="004A71F0">
      <w:pPr>
        <w:pStyle w:val="SPuce"/>
        <w:rPr>
          <w:bCs/>
        </w:rPr>
      </w:pPr>
      <w:r w:rsidRPr="00A27113">
        <w:rPr>
          <w:szCs w:val="24"/>
        </w:rPr>
        <w:t>la preuve d’un lien de causalité entre l’incident et le dommage occasionné.</w:t>
      </w:r>
    </w:p>
    <w:p w14:paraId="5F464E8D" w14:textId="77777777" w:rsidR="00A95F3E" w:rsidRPr="00A27113" w:rsidRDefault="00A95F3E" w:rsidP="004A71F0">
      <w:r>
        <w:t>Le GRD</w:t>
      </w:r>
      <w:r w:rsidRPr="00A27113">
        <w:t xml:space="preserve"> fait part de sa réponse, dans les conditions précisées au </w:t>
      </w:r>
      <w:r>
        <w:t>9.1.2.1</w:t>
      </w:r>
      <w:r w:rsidRPr="00A27113">
        <w:t xml:space="preserve"> sous la forme : </w:t>
      </w:r>
    </w:p>
    <w:p w14:paraId="27406658" w14:textId="77777777" w:rsidR="00A95F3E" w:rsidRPr="00A27113" w:rsidRDefault="00A95F3E" w:rsidP="004A71F0">
      <w:pPr>
        <w:pStyle w:val="SPuce"/>
      </w:pPr>
      <w:r w:rsidRPr="00A27113">
        <w:t>soit d'un accord sur le principe d'une indemnisation ;</w:t>
      </w:r>
    </w:p>
    <w:p w14:paraId="6CA2FFC1" w14:textId="77777777" w:rsidR="00A95F3E" w:rsidRPr="00A27113" w:rsidRDefault="00A95F3E" w:rsidP="004A71F0">
      <w:pPr>
        <w:pStyle w:val="SPuce"/>
      </w:pPr>
      <w:r w:rsidRPr="00A27113">
        <w:t>soit d'un refus sur le principe d'une indemnisation.</w:t>
      </w:r>
    </w:p>
    <w:p w14:paraId="443A7B62" w14:textId="77777777" w:rsidR="00A95F3E" w:rsidRPr="00A27113" w:rsidRDefault="00A95F3E" w:rsidP="004A71F0">
      <w:r w:rsidRPr="00A27113">
        <w:t xml:space="preserve">En cas d’accord sur le principe d’une indemnisation, </w:t>
      </w:r>
      <w:r>
        <w:t>le GRD</w:t>
      </w:r>
      <w:r w:rsidRPr="00A27113">
        <w:t xml:space="preserve"> communique son offre d'indemnisation d'une part au Fournisseur, sur la Plate-forme d'échanges, d'autre part au Client, par courrier.</w:t>
      </w:r>
    </w:p>
    <w:p w14:paraId="129C4A94" w14:textId="77777777" w:rsidR="00A95F3E" w:rsidRPr="00A27113" w:rsidRDefault="00A95F3E" w:rsidP="004A71F0">
      <w:r w:rsidRPr="00A27113">
        <w:t xml:space="preserve">En cas d'accord du Client sur le montant de cette offre d'indemnisation, </w:t>
      </w:r>
      <w:r>
        <w:t>le GRD</w:t>
      </w:r>
      <w:r w:rsidRPr="00A27113">
        <w:t xml:space="preserve"> ou son assureur verse au Client le montant de l'indemnisation convenu dans un délai de trente jours calendaires à compter de l'accord du Client. </w:t>
      </w:r>
    </w:p>
    <w:p w14:paraId="10E5B96E" w14:textId="77777777" w:rsidR="00A95F3E" w:rsidRPr="00A27113" w:rsidRDefault="00A95F3E" w:rsidP="004A71F0">
      <w:r w:rsidRPr="00A27113">
        <w:t xml:space="preserve">En cas de refus d’indemnisation et de désaccord sur le montant de cette l’indemnisation, le Client peut demander </w:t>
      </w:r>
      <w:r>
        <w:t>au GRD</w:t>
      </w:r>
      <w:r w:rsidRPr="00A27113">
        <w:t xml:space="preserve">, </w:t>
      </w:r>
      <w:r w:rsidRPr="00A27113">
        <w:rPr>
          <w:iCs/>
        </w:rPr>
        <w:t>via</w:t>
      </w:r>
      <w:r w:rsidRPr="00A27113">
        <w:t xml:space="preserve"> le Fournisseur, d’organiser </w:t>
      </w:r>
      <w:r>
        <w:t xml:space="preserve">ou organiser lui-même </w:t>
      </w:r>
      <w:r w:rsidRPr="00A27113">
        <w:t xml:space="preserve">une expertise amiable. </w:t>
      </w:r>
    </w:p>
    <w:p w14:paraId="58076423" w14:textId="77777777" w:rsidR="00A95F3E" w:rsidRPr="00A27113" w:rsidRDefault="00A95F3E" w:rsidP="004A71F0">
      <w:r w:rsidRPr="00A27113">
        <w:t>A défaut d’accord à l’issue de l’expertise, le Client peut saisir le tribunal compétent.</w:t>
      </w:r>
    </w:p>
    <w:p w14:paraId="2E996EE1" w14:textId="77777777" w:rsidR="00A95F3E" w:rsidRPr="00A27113" w:rsidRDefault="00A95F3E" w:rsidP="004A71F0">
      <w:pPr>
        <w:pStyle w:val="Titre4"/>
      </w:pPr>
      <w:r w:rsidRPr="00A27113">
        <w:t>Recours</w:t>
      </w:r>
    </w:p>
    <w:p w14:paraId="4F3F7140" w14:textId="77777777" w:rsidR="00A95F3E" w:rsidRPr="00A27113" w:rsidRDefault="00A95F3E" w:rsidP="004A71F0">
      <w:r w:rsidRPr="00A27113">
        <w:t xml:space="preserve">En cas de litige sur l‘interprétation et/ou l’exécution des dispositions de la présente annexe, le Client peut saisir, par l’intermédiaire de son Fournisseur, les services compétents </w:t>
      </w:r>
      <w:r>
        <w:t>du GRD</w:t>
      </w:r>
      <w:r w:rsidRPr="00A27113">
        <w:t xml:space="preserve"> en vue d’un examen de sa demande.</w:t>
      </w:r>
    </w:p>
    <w:p w14:paraId="4FE870FA" w14:textId="77777777" w:rsidR="00A95F3E" w:rsidRPr="00A27113" w:rsidRDefault="00A95F3E" w:rsidP="004A71F0">
      <w:r w:rsidRPr="00A27113">
        <w:t xml:space="preserve">Les coordonnées desdits services sont disponibles sur simple demande auprès </w:t>
      </w:r>
      <w:r>
        <w:t>du GRD</w:t>
      </w:r>
      <w:r w:rsidRPr="00A27113">
        <w:t>.</w:t>
      </w:r>
    </w:p>
    <w:p w14:paraId="234300A9" w14:textId="77777777" w:rsidR="00A95F3E" w:rsidRPr="00A27113" w:rsidRDefault="00A95F3E" w:rsidP="004A71F0">
      <w:r w:rsidRPr="00A27113">
        <w:rPr>
          <w:szCs w:val="18"/>
        </w:rPr>
        <w:t xml:space="preserve">Si le Client est un particulier ou un non-professionnel ou un professionnel appartenant à la catégorie des micro-entreprises mentionnée à l’article 51 de la loi n°2008-776 du 4 août 2008, </w:t>
      </w:r>
      <w:r>
        <w:rPr>
          <w:szCs w:val="18"/>
        </w:rPr>
        <w:t>il</w:t>
      </w:r>
      <w:r w:rsidRPr="00A27113">
        <w:rPr>
          <w:szCs w:val="18"/>
        </w:rPr>
        <w:t xml:space="preserve"> peut faire appel au Médiateur National de l’Energie, conformément à l’article L122-1 du code de l’énergie. Le différend doit alors faire l’objet d’une réclamation écrite préalable du Client au Fournisseur ou </w:t>
      </w:r>
      <w:r>
        <w:rPr>
          <w:szCs w:val="18"/>
        </w:rPr>
        <w:t>au GRD</w:t>
      </w:r>
      <w:r w:rsidRPr="00A27113">
        <w:rPr>
          <w:szCs w:val="18"/>
        </w:rPr>
        <w:t>, qui n’a pas permis de régler ce litige dans un délai de deux mois à compter de la réception de cette réclamation écrite, conformément à l’article R122-1 du code de l’énergie.</w:t>
      </w:r>
    </w:p>
    <w:p w14:paraId="5C7D2511" w14:textId="77777777" w:rsidR="00A95F3E" w:rsidRPr="00A27113" w:rsidRDefault="00A95F3E" w:rsidP="004A71F0">
      <w:r w:rsidRPr="00A27113">
        <w:t>Le Client peut également soumettre le différend devant la juridiction compétente ou le CoRDiS.</w:t>
      </w:r>
    </w:p>
    <w:p w14:paraId="4803D691" w14:textId="77777777" w:rsidR="00A95F3E" w:rsidRPr="00A27113" w:rsidRDefault="00A95F3E" w:rsidP="004A71F0">
      <w:pPr>
        <w:pStyle w:val="Titre2"/>
      </w:pPr>
      <w:bookmarkStart w:id="65" w:name="_Toc77686074"/>
      <w:r w:rsidRPr="00A27113">
        <w:t xml:space="preserve">Responsabilité du Client vis-vis </w:t>
      </w:r>
      <w:r>
        <w:t>du GRD</w:t>
      </w:r>
      <w:bookmarkEnd w:id="65"/>
    </w:p>
    <w:p w14:paraId="564B46E6" w14:textId="77777777" w:rsidR="00A95F3E" w:rsidRPr="00A27113" w:rsidRDefault="00A95F3E" w:rsidP="004A71F0">
      <w:r w:rsidRPr="00A27113">
        <w:t xml:space="preserve">Le Client est directement responsable vis-à-vis </w:t>
      </w:r>
      <w:r>
        <w:t>du GRD</w:t>
      </w:r>
      <w:r w:rsidRPr="00A27113">
        <w:t xml:space="preserve"> en cas de non-respect des obligations mises à sa charge aux termes du contrat GRD-F.</w:t>
      </w:r>
    </w:p>
    <w:p w14:paraId="20EBD7AC" w14:textId="77777777" w:rsidR="00A95F3E" w:rsidRPr="00A27113" w:rsidRDefault="00A95F3E" w:rsidP="004A71F0">
      <w:r w:rsidRPr="00A27113">
        <w:t xml:space="preserve">En cas de préjudice subi par </w:t>
      </w:r>
      <w:r>
        <w:t>le GRD</w:t>
      </w:r>
      <w:r w:rsidRPr="00A27113">
        <w:t xml:space="preserve">, </w:t>
      </w:r>
      <w:r>
        <w:t>celui</w:t>
      </w:r>
      <w:r w:rsidRPr="00A27113">
        <w:t>-ci engage toute procédure amiable ou tout recours juridictionnel contre le Client à l’origine de ce préjudice. Elle en informe le Fournisseur.</w:t>
      </w:r>
    </w:p>
    <w:p w14:paraId="12BDAD77" w14:textId="77777777" w:rsidR="00A95F3E" w:rsidRPr="00A27113" w:rsidRDefault="00A95F3E" w:rsidP="004A71F0">
      <w:r w:rsidRPr="00A27113">
        <w:t xml:space="preserve">Le Fournisseur s’engage à communiquer sur simple demande </w:t>
      </w:r>
      <w:r>
        <w:t>au GRD</w:t>
      </w:r>
      <w:r w:rsidRPr="00A27113">
        <w:t xml:space="preserve"> le Contrat Unique conclu avec le Client. Toutefois, le Fournisseur se réserve le droit de masquer les dispositions du Contrat Unique ne concernant pas l’accès au réseau.</w:t>
      </w:r>
    </w:p>
    <w:p w14:paraId="11B468C1" w14:textId="77777777" w:rsidR="00A95F3E" w:rsidRPr="00A27113" w:rsidRDefault="00A95F3E" w:rsidP="004A71F0">
      <w:r w:rsidRPr="00A27113">
        <w:t>Il est expressément convenu que le Fournisseur ne peut être tenu pour responsable de la mauvaise exécution ou la non-exécution par le Client de ses obligations, sauf si par sa faute il y a contribué.</w:t>
      </w:r>
    </w:p>
    <w:p w14:paraId="51236245" w14:textId="77777777" w:rsidR="00A95F3E" w:rsidRPr="00A27113" w:rsidRDefault="00A95F3E" w:rsidP="004A71F0">
      <w:pPr>
        <w:pStyle w:val="Titre2"/>
      </w:pPr>
      <w:bookmarkStart w:id="66" w:name="_Toc77686075"/>
      <w:r w:rsidRPr="00A27113">
        <w:t>Régime perturbé et force majeure</w:t>
      </w:r>
      <w:bookmarkEnd w:id="66"/>
    </w:p>
    <w:p w14:paraId="557DC6B5" w14:textId="77777777" w:rsidR="00A95F3E" w:rsidRPr="00A27113" w:rsidRDefault="00A95F3E" w:rsidP="004A71F0">
      <w:pPr>
        <w:pStyle w:val="Titre3"/>
      </w:pPr>
      <w:bookmarkStart w:id="67" w:name="_Toc77686076"/>
      <w:r w:rsidRPr="00A27113">
        <w:t>Définition</w:t>
      </w:r>
      <w:bookmarkEnd w:id="67"/>
    </w:p>
    <w:p w14:paraId="553CFF32" w14:textId="77777777" w:rsidR="00A95F3E" w:rsidRPr="00A27113" w:rsidRDefault="00A95F3E" w:rsidP="004A71F0">
      <w:r w:rsidRPr="00A27113">
        <w:t>Un événement de force majeure désigne tout événement échappant au contrôle du débiteur, qui ne pouvait être raisonnablement prévu lors de la conclusion du contrat et dont les effets ne peuvent être évités par des mesures appropriées empêchant l’exécution de tout ou partie des obligations mentionnées dans les présentes dispositions générales.</w:t>
      </w:r>
    </w:p>
    <w:p w14:paraId="2016FB28" w14:textId="77777777" w:rsidR="00A95F3E" w:rsidRPr="00A27113" w:rsidRDefault="00A95F3E" w:rsidP="004A71F0">
      <w:r w:rsidRPr="00A27113">
        <w:t xml:space="preserve">En outre, </w:t>
      </w:r>
      <w:r w:rsidRPr="00A27113">
        <w:rPr>
          <w:szCs w:val="18"/>
        </w:rPr>
        <w:t xml:space="preserve">en application des articles D322-1 à D322-10 du code de l’énergie et de l’article 19 du cahier des charges type de concession du réseau public de transport, annexé au décret n°2006-1731, </w:t>
      </w:r>
      <w:r w:rsidRPr="00A27113">
        <w:t xml:space="preserve">il existe des circonstances exceptionnelles, indépendantes de la volonté </w:t>
      </w:r>
      <w:r>
        <w:t>du GRD</w:t>
      </w:r>
      <w:r w:rsidRPr="00A27113">
        <w:t xml:space="preserve"> et non maîtrisables dans l’état des connaissances techniques, qui sont assimilées par les Parties à des événements de force majeure. Ces circonstances, caractérisant le régime perturbé, sont les suivantes :</w:t>
      </w:r>
    </w:p>
    <w:p w14:paraId="2CADE6C7" w14:textId="77777777" w:rsidR="00A95F3E" w:rsidRPr="00A27113" w:rsidRDefault="00A95F3E" w:rsidP="004A71F0">
      <w:pPr>
        <w:pStyle w:val="SPuce"/>
      </w:pPr>
      <w:r w:rsidRPr="00A27113">
        <w:t>les destructions dues à des actes de guerre, émeutes, pillages, sabotages, attentats ou atteintes délictuelles ;</w:t>
      </w:r>
    </w:p>
    <w:p w14:paraId="267B3171" w14:textId="77777777" w:rsidR="00A95F3E" w:rsidRPr="00A27113" w:rsidRDefault="00A95F3E" w:rsidP="004A71F0">
      <w:pPr>
        <w:pStyle w:val="SPuce"/>
      </w:pPr>
      <w:r w:rsidRPr="00A27113">
        <w:t>les dommages causés par des faits accidentels et non maîtrisables, imputables à des faits irrésistibles et imprévisibles de tiers, tels qu’incendies, explosions ou chutes d’aéronefs ;</w:t>
      </w:r>
    </w:p>
    <w:p w14:paraId="5F248B06" w14:textId="77777777" w:rsidR="00A95F3E" w:rsidRPr="00A27113" w:rsidRDefault="00A95F3E" w:rsidP="004A71F0">
      <w:pPr>
        <w:pStyle w:val="SPuce"/>
      </w:pPr>
      <w:r w:rsidRPr="00A27113">
        <w:t>les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17F65041" w14:textId="77777777" w:rsidR="00A95F3E" w:rsidRPr="00A27113" w:rsidRDefault="00A95F3E" w:rsidP="004A71F0">
      <w:pPr>
        <w:pStyle w:val="SPuce"/>
      </w:pPr>
      <w:r w:rsidRPr="00A27113">
        <w:t xml:space="preserve">les phénomènes atmosphériques irrésistibles par leur cause et leur ampleur et auxquels les réseaux électriques, et notamment aériens, sont particulièrement vulnérables (ex. : givre, neige collante, tempête), dès que, lors d’une même journée et pour la même cause, au moins </w:t>
      </w:r>
      <w:r>
        <w:rPr>
          <w:noProof/>
        </w:rPr>
        <w:t>30.000</w:t>
      </w:r>
      <w:r>
        <w:t xml:space="preserve"> </w:t>
      </w:r>
      <w:r w:rsidRPr="00A27113">
        <w:t>Points de Livraison, alimentés par le RPT et/ou par les RPD sont privés d’électricité. Cette dernière condition n’est pas exigée en cas de délestages de PDL non prioritaires en application de l’arrêté du 5 juillet 1990 fixant les consignes générales de délestage sur les réseaux électriques, dans le cas où l’alimentation en électricité est de nature à être compromise ;</w:t>
      </w:r>
    </w:p>
    <w:p w14:paraId="5F7196BE" w14:textId="77777777" w:rsidR="00A95F3E" w:rsidRPr="00A27113" w:rsidRDefault="00A95F3E" w:rsidP="004A71F0">
      <w:pPr>
        <w:pStyle w:val="SPuce"/>
      </w:pPr>
      <w:r w:rsidRPr="00A27113">
        <w:t xml:space="preserve">les mises hors service d’ouvrages décidées par les pouvoirs publics pour des motifs de sécurité publique ou de police dès lors que cette décision ne résulté pas du comportement ou de l’inaction </w:t>
      </w:r>
      <w:r>
        <w:t>du GRD</w:t>
      </w:r>
      <w:r w:rsidRPr="00A27113">
        <w:t xml:space="preserve"> ;</w:t>
      </w:r>
    </w:p>
    <w:p w14:paraId="23B0DBA7" w14:textId="77777777" w:rsidR="00A95F3E" w:rsidRPr="00A27113" w:rsidRDefault="00A95F3E" w:rsidP="004A71F0">
      <w:pPr>
        <w:pStyle w:val="SPuce"/>
        <w:rPr>
          <w:bCs/>
          <w:iCs/>
        </w:rPr>
      </w:pPr>
      <w:r w:rsidRPr="00A27113">
        <w:t>les délestages organisés par RTE conformément à l'article 12 de l'arrêté du 6 octobre 2006 relatif aux prescriptions techniques de conception et de fonctionnement pour le raccordement au réseau public de transport de l'électricité d'un réseau public de distribution.</w:t>
      </w:r>
    </w:p>
    <w:p w14:paraId="52E76D55" w14:textId="77777777" w:rsidR="00A95F3E" w:rsidRPr="00A27113" w:rsidRDefault="00A95F3E" w:rsidP="004A71F0">
      <w:pPr>
        <w:pStyle w:val="Titre3"/>
      </w:pPr>
      <w:bookmarkStart w:id="68" w:name="_Toc77686077"/>
      <w:r w:rsidRPr="00A27113">
        <w:t>Régime juridique</w:t>
      </w:r>
      <w:bookmarkEnd w:id="68"/>
      <w:r w:rsidRPr="00A27113">
        <w:t xml:space="preserve"> </w:t>
      </w:r>
    </w:p>
    <w:p w14:paraId="135A43A7" w14:textId="77777777" w:rsidR="00A95F3E" w:rsidRPr="00A27113" w:rsidRDefault="00A95F3E" w:rsidP="004A71F0">
      <w:r>
        <w:t>Le GRD</w:t>
      </w:r>
      <w:r w:rsidRPr="00A27113">
        <w:t xml:space="preserve">,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w:t>
      </w:r>
      <w:r w:rsidRPr="00A27113">
        <w:rPr>
          <w:szCs w:val="18"/>
        </w:rPr>
        <w:t>dont l’exécution est rendue impossible</w:t>
      </w:r>
      <w:r w:rsidRPr="00A27113">
        <w:t xml:space="preserv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w:t>
      </w:r>
      <w:r>
        <w:t>du GRD</w:t>
      </w:r>
      <w:r w:rsidRPr="00A27113">
        <w:t>.</w:t>
      </w:r>
    </w:p>
    <w:p w14:paraId="08E2151E" w14:textId="77777777" w:rsidR="00A95F3E" w:rsidRPr="00A27113" w:rsidRDefault="00A95F3E" w:rsidP="004A71F0">
      <w:pPr>
        <w:rPr>
          <w:rFonts w:ascii="Calibri" w:hAnsi="Calibri"/>
        </w:rPr>
      </w:pPr>
      <w:r w:rsidRPr="00A27113">
        <w:rPr>
          <w:rFonts w:ascii="Calibri" w:hAnsi="Calibri"/>
        </w:rPr>
        <w:t xml:space="preserve">Celui qui désire invoquer l’événement de force majeure informe les deux autres par tout moyen, dans les meilleurs délais, de la nature de l'événement de force majeure invoqué et sa durée probable. </w:t>
      </w:r>
    </w:p>
    <w:p w14:paraId="6450E342" w14:textId="77777777" w:rsidR="00A95F3E" w:rsidRPr="00A27113" w:rsidRDefault="00A95F3E" w:rsidP="004A71F0">
      <w:r w:rsidRPr="00A27113">
        <w:rPr>
          <w:rFonts w:ascii="Calibri" w:hAnsi="Calibri"/>
        </w:rPr>
        <w:t>Celui qui invoque un événement de force majeure a l’obligation de mettre en œuvre tous les moyens dont elle dispose pour en limiter sa portée et sa durée.</w:t>
      </w:r>
    </w:p>
    <w:p w14:paraId="0E2B4022" w14:textId="77777777" w:rsidR="00A95F3E" w:rsidRPr="00A27113" w:rsidRDefault="00A95F3E" w:rsidP="004A71F0">
      <w:pPr>
        <w:pStyle w:val="Titre1"/>
      </w:pPr>
      <w:bookmarkStart w:id="69" w:name="_Toc77686078"/>
      <w:r w:rsidRPr="00A27113">
        <w:t>Application des présentes dispositions générales</w:t>
      </w:r>
      <w:bookmarkEnd w:id="69"/>
    </w:p>
    <w:p w14:paraId="2C481412" w14:textId="77777777" w:rsidR="00A95F3E" w:rsidRPr="00A27113" w:rsidRDefault="00A95F3E" w:rsidP="004A71F0">
      <w:pPr>
        <w:pStyle w:val="Titre2"/>
        <w:tabs>
          <w:tab w:val="left" w:pos="993"/>
        </w:tabs>
      </w:pPr>
      <w:bookmarkStart w:id="70" w:name="_Toc77686079"/>
      <w:r w:rsidRPr="00A27113">
        <w:t>Adaptation</w:t>
      </w:r>
      <w:bookmarkEnd w:id="70"/>
    </w:p>
    <w:p w14:paraId="6436C776" w14:textId="77777777" w:rsidR="00A95F3E" w:rsidRPr="00A27113" w:rsidRDefault="00A95F3E" w:rsidP="004A71F0">
      <w:r w:rsidRPr="00A27113">
        <w:t>Dès l’entrée en vigueur de textes législatifs ou réglementaires en relation avec l’objet des présentes dispositions générales (exemple : nouvelles dispositions du TURPE), ceux-ci s’appliquent de plein droit, dès lors qu’ils sont d’ordre public.</w:t>
      </w:r>
    </w:p>
    <w:p w14:paraId="248EDA4D" w14:textId="77777777" w:rsidR="00A95F3E" w:rsidRPr="00A27113" w:rsidRDefault="00A95F3E" w:rsidP="004A71F0">
      <w:r w:rsidRPr="00A27113">
        <w:t xml:space="preserve">Par ailleurs, en cas de modification substantielle d’un élément de l’environnement légal ou réglementaire qui ne serait pas d’ordre public mais conduirait à la nécessité de revoir tout ou partie des présentes dispositions générales, les modifications sont portées à la connaissance du Client par l’intermédiaire du Fournisseur, conformément à l’article </w:t>
      </w:r>
      <w:r>
        <w:t>1.3</w:t>
      </w:r>
      <w:r w:rsidRPr="00A27113">
        <w:t xml:space="preserve"> des présentes dispositions générales.</w:t>
      </w:r>
    </w:p>
    <w:p w14:paraId="17598D0C" w14:textId="77777777" w:rsidR="00A95F3E" w:rsidRPr="00A27113" w:rsidRDefault="00A95F3E" w:rsidP="004A71F0">
      <w:pPr>
        <w:pStyle w:val="Titre2"/>
        <w:tabs>
          <w:tab w:val="left" w:pos="993"/>
        </w:tabs>
      </w:pPr>
      <w:bookmarkStart w:id="71" w:name="_Toc77686080"/>
      <w:r w:rsidRPr="00A27113">
        <w:t>Suspension de l’accès au Réseau Public de Distribution à la demande du Fournisseur</w:t>
      </w:r>
      <w:bookmarkEnd w:id="71"/>
    </w:p>
    <w:p w14:paraId="6184CD5D" w14:textId="77777777" w:rsidR="00A95F3E" w:rsidRPr="00A27113" w:rsidRDefault="00A95F3E" w:rsidP="004A71F0">
      <w:r w:rsidRPr="00A27113">
        <w:t xml:space="preserve">Dans le respect des textes en vigueur et en particulier des modalités fixées par le cahier des charges de distribution publique d'électricité en matière d’information préalable du Client, le Fournisseur a la faculté de faire suspendre par </w:t>
      </w:r>
      <w:r>
        <w:t>le GRD</w:t>
      </w:r>
      <w:r w:rsidRPr="00A27113">
        <w:t xml:space="preserve"> l’accès au RPD de Points de Livraison.</w:t>
      </w:r>
    </w:p>
    <w:p w14:paraId="3EC757FB" w14:textId="77777777" w:rsidR="00A95F3E" w:rsidRPr="00A27113" w:rsidRDefault="00A95F3E" w:rsidP="004A71F0">
      <w:r w:rsidRPr="00A27113">
        <w:t xml:space="preserve">Le Fournisseur a la possibilité de demander </w:t>
      </w:r>
      <w:r>
        <w:t>au GRD</w:t>
      </w:r>
      <w:r w:rsidRPr="00A27113">
        <w:t xml:space="preserve"> de limiter la puissance chez le Client :</w:t>
      </w:r>
    </w:p>
    <w:p w14:paraId="008700F1" w14:textId="77777777" w:rsidR="00A95F3E" w:rsidRPr="00A27113" w:rsidRDefault="00A95F3E" w:rsidP="004A71F0">
      <w:pPr>
        <w:pStyle w:val="SPuce"/>
      </w:pPr>
      <w:r w:rsidRPr="00A27113">
        <w:t>pour tous les Clients disposant d’un Compteur Communicant ;</w:t>
      </w:r>
    </w:p>
    <w:p w14:paraId="563BDF56" w14:textId="77777777" w:rsidR="00A95F3E" w:rsidRPr="00A27113" w:rsidRDefault="00A95F3E" w:rsidP="004A71F0">
      <w:pPr>
        <w:pStyle w:val="SPuce"/>
      </w:pPr>
      <w:r w:rsidRPr="00A27113">
        <w:t>pour les Clients Résidentiels lorsque le Client ne dispose pas d’un Compteur Communicant.</w:t>
      </w:r>
    </w:p>
    <w:p w14:paraId="51F3D284" w14:textId="77777777" w:rsidR="00A95F3E" w:rsidRPr="00A27113" w:rsidRDefault="00A95F3E" w:rsidP="004A71F0">
      <w:r w:rsidRPr="00A27113">
        <w:t xml:space="preserve">La suspension est réalisée selon les modalités définies dans les </w:t>
      </w:r>
      <w:r>
        <w:t>Référentiel</w:t>
      </w:r>
      <w:r w:rsidRPr="00A27113">
        <w:t xml:space="preserve">s </w:t>
      </w:r>
      <w:r>
        <w:t>du GRD</w:t>
      </w:r>
      <w:r w:rsidRPr="00A27113">
        <w:t xml:space="preserve"> et dans son Catalogue des prestations.</w:t>
      </w:r>
    </w:p>
    <w:p w14:paraId="11DFE2F4" w14:textId="77777777" w:rsidR="00A95F3E" w:rsidRPr="00A27113" w:rsidRDefault="00A95F3E" w:rsidP="0077150C">
      <w:pPr>
        <w:pStyle w:val="Titre2"/>
        <w:tabs>
          <w:tab w:val="num" w:pos="576"/>
        </w:tabs>
        <w:spacing w:after="120"/>
        <w:ind w:left="576" w:hanging="576"/>
      </w:pPr>
      <w:bookmarkStart w:id="72" w:name="_Toc77686081"/>
      <w:r w:rsidRPr="00A27113">
        <w:t xml:space="preserve">Suspension de l’accès au Réseau Public de Distribution à l’initiative </w:t>
      </w:r>
      <w:r>
        <w:t>du GRD</w:t>
      </w:r>
      <w:bookmarkEnd w:id="72"/>
    </w:p>
    <w:p w14:paraId="55126BAD" w14:textId="77777777" w:rsidR="00A95F3E" w:rsidRPr="00A27113" w:rsidRDefault="00A95F3E" w:rsidP="004A71F0">
      <w:r>
        <w:t>Le GRD</w:t>
      </w:r>
      <w:r w:rsidRPr="00A27113">
        <w:t xml:space="preserve"> peut procéder à la suspension ou refuser l’accès au RPD et d’exécuter les prestations de service qui y sont associées dans les cas suivants :</w:t>
      </w:r>
    </w:p>
    <w:p w14:paraId="3EB9BF2A" w14:textId="77777777" w:rsidR="00A95F3E" w:rsidRPr="00A27113" w:rsidRDefault="00A95F3E" w:rsidP="00FD151F">
      <w:pPr>
        <w:pStyle w:val="SPuce"/>
      </w:pPr>
      <w:r w:rsidRPr="00A27113">
        <w:t>absence de Contrat Unique ;</w:t>
      </w:r>
    </w:p>
    <w:p w14:paraId="76E776A3" w14:textId="77777777" w:rsidR="00A95F3E" w:rsidRPr="00A27113" w:rsidRDefault="00A95F3E" w:rsidP="004A71F0">
      <w:pPr>
        <w:pStyle w:val="SPuce"/>
      </w:pPr>
      <w:r w:rsidRPr="00A27113">
        <w:t xml:space="preserve">refus du Client de laisser </w:t>
      </w:r>
      <w:r>
        <w:t>le GRD</w:t>
      </w:r>
      <w:r w:rsidRPr="00A27113">
        <w:t xml:space="preserve"> accéder, pour vérification, à ses installations électriques et en particulier au local de comptage ;</w:t>
      </w:r>
    </w:p>
    <w:p w14:paraId="28BF36E3" w14:textId="77777777" w:rsidR="00A95F3E" w:rsidRPr="00A27113" w:rsidRDefault="00A95F3E" w:rsidP="004A71F0">
      <w:pPr>
        <w:pStyle w:val="SPuce"/>
      </w:pPr>
      <w:r w:rsidRPr="00A27113">
        <w:t xml:space="preserve">si, à l'issue de la procédure exposée à l’article </w:t>
      </w:r>
      <w:r>
        <w:t>3.1.4</w:t>
      </w:r>
      <w:r w:rsidRPr="00A27113">
        <w:t xml:space="preserve">, le Client persiste à refuser </w:t>
      </w:r>
      <w:r>
        <w:t>au GRD</w:t>
      </w:r>
      <w:r w:rsidRPr="00A27113">
        <w:t xml:space="preserve"> l’accès pour le relevé du Compteur ;</w:t>
      </w:r>
    </w:p>
    <w:p w14:paraId="4AA97D0E" w14:textId="77777777" w:rsidR="00A95F3E" w:rsidRPr="00A27113" w:rsidRDefault="00A95F3E" w:rsidP="004A71F0">
      <w:pPr>
        <w:pStyle w:val="SPuce"/>
      </w:pPr>
      <w:r w:rsidRPr="00A27113">
        <w:t>refus du Client, alors que des éléments de ses installations électriques y compris le Dispositif de comptage, sont défectueux, de procéder à leurs réparations ou à leurs renouvellements ;</w:t>
      </w:r>
    </w:p>
    <w:p w14:paraId="632F4CB6" w14:textId="77777777" w:rsidR="00A95F3E" w:rsidRPr="00A27113" w:rsidRDefault="00A95F3E" w:rsidP="004A71F0">
      <w:pPr>
        <w:pStyle w:val="SPuce"/>
      </w:pPr>
      <w:r w:rsidRPr="00A27113">
        <w:t>si le CoRDiS prononce à l’encontre du Client, pour le Site, la sanction d’interdiction temporaire d’accès au Réseau en application de l’article L134-27 du code de l’énergie ;</w:t>
      </w:r>
    </w:p>
    <w:p w14:paraId="289EDF06" w14:textId="77777777" w:rsidR="00A95F3E" w:rsidRPr="00A27113" w:rsidRDefault="00A95F3E" w:rsidP="004A71F0">
      <w:pPr>
        <w:pStyle w:val="SPuce"/>
      </w:pPr>
      <w:r w:rsidRPr="00A27113">
        <w:t>raccordement non autorisé d’un tiers à l’installation intérieure du Client ;</w:t>
      </w:r>
    </w:p>
    <w:p w14:paraId="71DEBB26" w14:textId="77777777" w:rsidR="00A95F3E" w:rsidRPr="00A27113" w:rsidRDefault="00A95F3E" w:rsidP="004A71F0">
      <w:pPr>
        <w:pStyle w:val="SPuce"/>
      </w:pPr>
      <w:r w:rsidRPr="00A27113">
        <w:t>conformément aux cahiers des charges de distribution publique d’électricité, dans les cas suivants :</w:t>
      </w:r>
    </w:p>
    <w:p w14:paraId="08BE9612" w14:textId="77777777" w:rsidR="00A95F3E" w:rsidRPr="00A27113" w:rsidRDefault="00A95F3E" w:rsidP="004A71F0">
      <w:pPr>
        <w:pStyle w:val="SPuce"/>
        <w:numPr>
          <w:ilvl w:val="1"/>
          <w:numId w:val="1"/>
        </w:numPr>
      </w:pPr>
      <w:r w:rsidRPr="00A27113">
        <w:t>injonction émanant de l'Autorité Compétente en matière d'urbanisme ou de police en cas de trouble à l'ordre public,</w:t>
      </w:r>
    </w:p>
    <w:p w14:paraId="128FEE5C" w14:textId="77777777" w:rsidR="00A95F3E" w:rsidRPr="00A27113" w:rsidRDefault="00A95F3E" w:rsidP="004A71F0">
      <w:pPr>
        <w:pStyle w:val="SPuce"/>
        <w:numPr>
          <w:ilvl w:val="1"/>
          <w:numId w:val="1"/>
        </w:numPr>
      </w:pPr>
      <w:r w:rsidRPr="00A27113">
        <w:t>non-justification de la conformité des installations à la réglementation et aux normes en vigueur,</w:t>
      </w:r>
    </w:p>
    <w:p w14:paraId="36B7ED47" w14:textId="77777777" w:rsidR="00A95F3E" w:rsidRPr="00A27113" w:rsidRDefault="00A95F3E" w:rsidP="004A71F0">
      <w:pPr>
        <w:pStyle w:val="SPuce"/>
        <w:numPr>
          <w:ilvl w:val="1"/>
          <w:numId w:val="1"/>
        </w:numPr>
      </w:pPr>
      <w:r w:rsidRPr="00A27113">
        <w:t xml:space="preserve">danger grave et immédiat porté à la connaissance </w:t>
      </w:r>
      <w:r>
        <w:t>du GRD</w:t>
      </w:r>
      <w:r w:rsidRPr="00A27113">
        <w:t>,</w:t>
      </w:r>
    </w:p>
    <w:p w14:paraId="49169CED" w14:textId="77777777" w:rsidR="00A95F3E" w:rsidRPr="00A27113" w:rsidRDefault="00A95F3E" w:rsidP="004A71F0">
      <w:pPr>
        <w:pStyle w:val="SPuce"/>
        <w:numPr>
          <w:ilvl w:val="1"/>
          <w:numId w:val="1"/>
        </w:numPr>
      </w:pPr>
      <w:r w:rsidRPr="00A27113">
        <w:t xml:space="preserve">modification, dégradation ou destruction volontaire des ouvrages et comptages exploités par </w:t>
      </w:r>
      <w:r>
        <w:t>le GRD</w:t>
      </w:r>
      <w:r w:rsidRPr="00A27113">
        <w:t>, quelle qu'en soit la cause,</w:t>
      </w:r>
    </w:p>
    <w:p w14:paraId="038F0BAA" w14:textId="77777777" w:rsidR="00A95F3E" w:rsidRPr="00A27113" w:rsidRDefault="00A95F3E" w:rsidP="004A71F0">
      <w:pPr>
        <w:pStyle w:val="SPuce"/>
        <w:numPr>
          <w:ilvl w:val="1"/>
          <w:numId w:val="1"/>
        </w:numPr>
      </w:pPr>
      <w:r w:rsidRPr="00A27113">
        <w:t>trouble causé par un client ou par ses installations et appareillages, affectant l'exploitation ou la distribution d'énergie,</w:t>
      </w:r>
    </w:p>
    <w:p w14:paraId="21BF2AE3" w14:textId="77777777" w:rsidR="00A95F3E" w:rsidRPr="00A27113" w:rsidRDefault="00A95F3E" w:rsidP="004A71F0">
      <w:pPr>
        <w:pStyle w:val="SPuce"/>
        <w:numPr>
          <w:ilvl w:val="1"/>
          <w:numId w:val="1"/>
        </w:numPr>
      </w:pPr>
      <w:r w:rsidRPr="00A27113">
        <w:t xml:space="preserve">usage illicite ou frauduleux de l'énergie, dûment constaté par </w:t>
      </w:r>
      <w:r>
        <w:t>le GRD</w:t>
      </w:r>
      <w:r w:rsidRPr="00A27113">
        <w:t>.</w:t>
      </w:r>
    </w:p>
    <w:p w14:paraId="3DDD0DCC" w14:textId="77777777" w:rsidR="00A95F3E" w:rsidRPr="00A27113" w:rsidRDefault="00A95F3E" w:rsidP="004A71F0">
      <w:r>
        <w:t>Le GRD</w:t>
      </w:r>
      <w:r w:rsidRPr="00A27113">
        <w:t xml:space="preserve"> doit à nouveau permettre sans délai l'accès au RPD dès que les motifs ayant conduit à la suspension ont pris fin.</w:t>
      </w:r>
    </w:p>
    <w:p w14:paraId="646721F3" w14:textId="77777777" w:rsidR="00A95F3E" w:rsidRPr="00A27113" w:rsidRDefault="00A95F3E" w:rsidP="004A71F0">
      <w:r w:rsidRPr="00A27113">
        <w:t xml:space="preserve">La suspension par </w:t>
      </w:r>
      <w:r>
        <w:t>le GRD</w:t>
      </w:r>
      <w:r w:rsidRPr="00A27113">
        <w:t xml:space="preserve"> pour des impératifs de sécurité peut intervenir sans délai. Dans les autres cas, les délais et les modalités de la suspension sont ceux des articles sur la base desquels il est procédé à ladite suspension; à défaut de telles dispositions, la suspension prend effet dix jours calendaires après l'envoi par </w:t>
      </w:r>
      <w:r>
        <w:t>le GRD</w:t>
      </w:r>
      <w:r w:rsidRPr="00A27113">
        <w:t xml:space="preserve"> au Client d'une lettre recommandée avec demande d'avis de réception valant mise en demeure, avec copie au Fournisseur.</w:t>
      </w:r>
    </w:p>
    <w:p w14:paraId="638E551F" w14:textId="77777777" w:rsidR="00A95F3E" w:rsidRPr="00A27113" w:rsidRDefault="00A95F3E" w:rsidP="00240882">
      <w:pPr>
        <w:pStyle w:val="Titre2"/>
        <w:tabs>
          <w:tab w:val="left" w:pos="567"/>
          <w:tab w:val="left" w:pos="993"/>
        </w:tabs>
      </w:pPr>
      <w:bookmarkStart w:id="73" w:name="_Toc77686082"/>
      <w:r w:rsidRPr="00A27113">
        <w:t>Résiliation d’un Contrat Unique à l’initiative du Client</w:t>
      </w:r>
      <w:bookmarkEnd w:id="73"/>
    </w:p>
    <w:p w14:paraId="66646B0A" w14:textId="77777777" w:rsidR="00A95F3E" w:rsidRPr="00A27113" w:rsidRDefault="00A95F3E" w:rsidP="004A71F0">
      <w:pPr>
        <w:pStyle w:val="Titre3"/>
      </w:pPr>
      <w:bookmarkStart w:id="74" w:name="_Toc77686083"/>
      <w:r w:rsidRPr="00A27113">
        <w:t>Cas des Clients qui ne souhaitent plus disposer d’un accès au RPD</w:t>
      </w:r>
      <w:bookmarkEnd w:id="74"/>
    </w:p>
    <w:p w14:paraId="356B443D" w14:textId="77777777" w:rsidR="00A95F3E" w:rsidRPr="00A27113" w:rsidRDefault="00A95F3E" w:rsidP="004A71F0">
      <w:r w:rsidRPr="00A27113">
        <w:t xml:space="preserve">Le Fournisseur formule une demande de résiliation du Point de Livraison pour le compte du Client via la Plate-forme d'échanges </w:t>
      </w:r>
      <w:r>
        <w:t>du GRD</w:t>
      </w:r>
      <w:r w:rsidRPr="00A27113">
        <w:t xml:space="preserve"> selon les modalités définies dans les </w:t>
      </w:r>
      <w:r>
        <w:t>R</w:t>
      </w:r>
      <w:r w:rsidRPr="00A27113">
        <w:t xml:space="preserve">éférentiels </w:t>
      </w:r>
      <w:r>
        <w:t>du GRD</w:t>
      </w:r>
      <w:r w:rsidRPr="00A27113">
        <w:t>.</w:t>
      </w:r>
    </w:p>
    <w:p w14:paraId="6F259752" w14:textId="77777777" w:rsidR="00A95F3E" w:rsidRPr="00A27113" w:rsidRDefault="00A95F3E" w:rsidP="004A71F0">
      <w:r w:rsidRPr="00A27113">
        <w:t xml:space="preserve">La résiliation du Contrat Unique est réalisée selon les modalités définies dans les </w:t>
      </w:r>
      <w:r>
        <w:t>R</w:t>
      </w:r>
      <w:r w:rsidRPr="00A27113">
        <w:t xml:space="preserve">éférentiels </w:t>
      </w:r>
      <w:r>
        <w:t>du GRD</w:t>
      </w:r>
      <w:r w:rsidRPr="00A27113">
        <w:rPr>
          <w:color w:val="auto"/>
        </w:rPr>
        <w:t xml:space="preserve"> </w:t>
      </w:r>
      <w:r w:rsidRPr="00A27113">
        <w:t>et dans son Catalogue des prestations.</w:t>
      </w:r>
    </w:p>
    <w:p w14:paraId="102B29B7" w14:textId="77777777" w:rsidR="00A95F3E" w:rsidRPr="00A27113" w:rsidRDefault="00A95F3E" w:rsidP="004A71F0">
      <w:pPr>
        <w:pStyle w:val="Titre3"/>
      </w:pPr>
      <w:bookmarkStart w:id="75" w:name="_Toc77686084"/>
      <w:r w:rsidRPr="00A27113">
        <w:t>Cas des Clients souhaitant souscrire un contrat CARD</w:t>
      </w:r>
      <w:bookmarkEnd w:id="75"/>
    </w:p>
    <w:p w14:paraId="62EC0DF2" w14:textId="77777777" w:rsidR="00A95F3E" w:rsidRPr="00A27113" w:rsidRDefault="00A95F3E" w:rsidP="0077150C">
      <w:r w:rsidRPr="00A27113">
        <w:t xml:space="preserve">Le Client formule sa demande de souscription d’un contrat CARD </w:t>
      </w:r>
      <w:r>
        <w:t>au GRD</w:t>
      </w:r>
      <w:r w:rsidRPr="00A27113">
        <w:t xml:space="preserve"> selon les modalités définies dans les </w:t>
      </w:r>
      <w:r>
        <w:t>Référentiel</w:t>
      </w:r>
      <w:r w:rsidRPr="00A27113">
        <w:t xml:space="preserve">s </w:t>
      </w:r>
      <w:r>
        <w:t>du GRD</w:t>
      </w:r>
      <w:r w:rsidRPr="00A27113">
        <w:t>.</w:t>
      </w:r>
      <w:r w:rsidRPr="00A27113">
        <w:rPr>
          <w:color w:val="auto"/>
        </w:rPr>
        <w:t xml:space="preserve"> </w:t>
      </w:r>
    </w:p>
    <w:p w14:paraId="14DFED29" w14:textId="77777777" w:rsidR="00A95F3E" w:rsidRPr="00A27113" w:rsidRDefault="00A95F3E" w:rsidP="0077150C">
      <w:r w:rsidRPr="00A27113">
        <w:t>La résiliation du Contrat Unique est réalisée selon l</w:t>
      </w:r>
      <w:r>
        <w:t>es modalités définies dans les R</w:t>
      </w:r>
      <w:r w:rsidRPr="00A27113">
        <w:t xml:space="preserve">éférentiels </w:t>
      </w:r>
      <w:r>
        <w:t>du GRD</w:t>
      </w:r>
      <w:r w:rsidRPr="00A27113">
        <w:rPr>
          <w:color w:val="auto"/>
        </w:rPr>
        <w:t xml:space="preserve"> </w:t>
      </w:r>
      <w:r w:rsidRPr="00A27113">
        <w:t>et dans son Catalogue des prestations.</w:t>
      </w:r>
    </w:p>
    <w:p w14:paraId="6D99F51D" w14:textId="77777777" w:rsidR="00A95F3E" w:rsidRPr="00A27113" w:rsidRDefault="00A95F3E" w:rsidP="00240882">
      <w:pPr>
        <w:pStyle w:val="Titre2"/>
        <w:tabs>
          <w:tab w:val="left" w:pos="993"/>
        </w:tabs>
      </w:pPr>
      <w:bookmarkStart w:id="76" w:name="_Toc77686085"/>
      <w:r w:rsidRPr="00A27113">
        <w:t>Changement de Fournisseur à un Point de Livraison</w:t>
      </w:r>
      <w:bookmarkEnd w:id="76"/>
    </w:p>
    <w:p w14:paraId="465D54B8" w14:textId="77777777" w:rsidR="00A95F3E" w:rsidRPr="00A27113" w:rsidRDefault="00A95F3E" w:rsidP="004A71F0">
      <w:r w:rsidRPr="00A27113">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RPD pour le Client. </w:t>
      </w:r>
    </w:p>
    <w:p w14:paraId="0587E200" w14:textId="77777777" w:rsidR="00A95F3E" w:rsidRPr="00A27113" w:rsidRDefault="00A95F3E" w:rsidP="004A71F0">
      <w:r w:rsidRPr="00A27113">
        <w:t xml:space="preserve">Le nouveau Fournisseur formule une demande de changement de Fournisseur pour le compte du Client via la Plate-forme d'échanges </w:t>
      </w:r>
      <w:r>
        <w:t>du GRD</w:t>
      </w:r>
      <w:r w:rsidRPr="00A27113">
        <w:t xml:space="preserve"> selon les modalités définies dans les </w:t>
      </w:r>
      <w:r>
        <w:t>Référentiel</w:t>
      </w:r>
      <w:r w:rsidRPr="00A27113">
        <w:t xml:space="preserve">s </w:t>
      </w:r>
      <w:r>
        <w:t>du GRD</w:t>
      </w:r>
      <w:r w:rsidRPr="00A27113">
        <w:t>. L’ancien Fournisseur ne peut pas s’opposer au changement de Fournisseur demandé.</w:t>
      </w:r>
    </w:p>
    <w:p w14:paraId="48F5D498" w14:textId="77777777" w:rsidR="00A95F3E" w:rsidRPr="00A27113" w:rsidRDefault="00A95F3E" w:rsidP="004A71F0">
      <w:r>
        <w:t>Le GRD</w:t>
      </w:r>
      <w:r w:rsidRPr="00A27113">
        <w:t xml:space="preserve"> a la faculté de s’opposer à la demande de changement de Fournisseur si cette dernière ne répond pas aux conditions de recevabilité définies dans les </w:t>
      </w:r>
      <w:r>
        <w:t>Référentiel</w:t>
      </w:r>
      <w:r w:rsidRPr="00A27113">
        <w:t xml:space="preserve">s </w:t>
      </w:r>
      <w:r>
        <w:t>du GRD</w:t>
      </w:r>
      <w:r w:rsidRPr="00A27113">
        <w:t xml:space="preserve"> notamment si :</w:t>
      </w:r>
    </w:p>
    <w:p w14:paraId="19E9A6B5" w14:textId="77777777" w:rsidR="00A95F3E" w:rsidRPr="00A27113" w:rsidRDefault="00A95F3E" w:rsidP="004A71F0">
      <w:pPr>
        <w:pStyle w:val="SPuce"/>
      </w:pPr>
      <w:r w:rsidRPr="00A27113">
        <w:t>une demande antérieure de changement de Fournisseur est déjà en cours de traitement pour le Point de Livraison concerné ;</w:t>
      </w:r>
    </w:p>
    <w:p w14:paraId="33AD3F47" w14:textId="77777777" w:rsidR="00A95F3E" w:rsidRPr="00A27113" w:rsidRDefault="00A95F3E" w:rsidP="00A4720C">
      <w:pPr>
        <w:pStyle w:val="SPuce"/>
        <w:spacing w:after="120"/>
        <w:ind w:left="714" w:hanging="357"/>
      </w:pPr>
      <w:r w:rsidRPr="00A27113">
        <w:t>une intervention non autorisée nécessitant la remise en état</w:t>
      </w:r>
      <w:r>
        <w:t xml:space="preserve"> des ouvrages de raccordement au </w:t>
      </w:r>
      <w:r w:rsidRPr="00A27113">
        <w:t>réseau a été constatée sur le Dispositif de comptage et/ou les ouvrages de raccordement du Point de Livraison concerné.</w:t>
      </w:r>
    </w:p>
    <w:p w14:paraId="18615240" w14:textId="77777777" w:rsidR="00A95F3E" w:rsidRPr="00A27113" w:rsidRDefault="00A95F3E">
      <w:pPr>
        <w:spacing w:before="0" w:after="0"/>
        <w:jc w:val="left"/>
      </w:pPr>
      <w:r w:rsidRPr="00A27113">
        <w:t>Le changement de Fournisseur est réalisé selon l</w:t>
      </w:r>
      <w:r>
        <w:t>es modalités définies dans les R</w:t>
      </w:r>
      <w:r w:rsidRPr="00A27113">
        <w:t xml:space="preserve">éférentiels </w:t>
      </w:r>
      <w:r>
        <w:t>du GRD</w:t>
      </w:r>
      <w:r>
        <w:rPr>
          <w:color w:val="auto"/>
        </w:rPr>
        <w:t xml:space="preserve"> </w:t>
      </w:r>
      <w:r w:rsidRPr="00A27113">
        <w:t>et dans son Catalogue des prestations.</w:t>
      </w:r>
      <w:r w:rsidRPr="00A27113">
        <w:br w:type="page"/>
      </w:r>
    </w:p>
    <w:p w14:paraId="689D115A" w14:textId="77777777" w:rsidR="00A95F3E" w:rsidRPr="00A27113" w:rsidRDefault="00A95F3E" w:rsidP="00DC643C">
      <w:pPr>
        <w:pStyle w:val="Titre1"/>
      </w:pPr>
      <w:bookmarkStart w:id="77" w:name="_Toc77686086"/>
      <w:r w:rsidRPr="00A27113">
        <w:t>Définitions</w:t>
      </w:r>
      <w:bookmarkEnd w:id="77"/>
    </w:p>
    <w:p w14:paraId="6CAF9B0F" w14:textId="77777777" w:rsidR="00A95F3E" w:rsidRPr="00A27113" w:rsidRDefault="00A95F3E" w:rsidP="009C3752">
      <w:pPr>
        <w:rPr>
          <w:snapToGrid w:val="0"/>
        </w:rPr>
      </w:pPr>
      <w:r w:rsidRPr="00A27113">
        <w:rPr>
          <w:snapToGrid w:val="0"/>
        </w:rPr>
        <w:t xml:space="preserve">Ces définitions sont celles du glossaire technique. Elles sont communes aux trois annexes </w:t>
      </w:r>
      <w:r w:rsidRPr="00A27113">
        <w:t>1, 2 et 3 « Dispositions générales relatives à l’accès et à l'utilisation du Réseau Public de Distribution »</w:t>
      </w:r>
      <w:r w:rsidRPr="00A27113">
        <w:rPr>
          <w:snapToGrid w:val="0"/>
        </w:rPr>
        <w:t>. Certaines peuvent ne pas concerner la présente annexe.</w:t>
      </w:r>
    </w:p>
    <w:p w14:paraId="27DC87D6" w14:textId="77777777" w:rsidR="00A95F3E" w:rsidRPr="00A27113" w:rsidRDefault="00A95F3E" w:rsidP="009C3752"/>
    <w:p w14:paraId="5253DA1C" w14:textId="77777777" w:rsidR="00A95F3E" w:rsidRPr="00A27113" w:rsidRDefault="00A95F3E" w:rsidP="009C3752">
      <w:pPr>
        <w:rPr>
          <w:b/>
        </w:rPr>
      </w:pPr>
      <w:r w:rsidRPr="00A27113">
        <w:rPr>
          <w:b/>
        </w:rPr>
        <w:t>Accord de Participation</w:t>
      </w:r>
    </w:p>
    <w:p w14:paraId="75E334F1" w14:textId="77777777" w:rsidR="00A95F3E" w:rsidRPr="00A27113" w:rsidRDefault="00A95F3E" w:rsidP="009C3752">
      <w:pPr>
        <w:rPr>
          <w:b/>
        </w:rPr>
      </w:pPr>
      <w:r w:rsidRPr="00A27113">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2872FA69" w14:textId="77777777" w:rsidR="00A95F3E" w:rsidRPr="00A27113" w:rsidRDefault="00A95F3E" w:rsidP="009C3752">
      <w:pPr>
        <w:rPr>
          <w:b/>
        </w:rPr>
      </w:pPr>
      <w:r w:rsidRPr="00A27113">
        <w:rPr>
          <w:b/>
        </w:rPr>
        <w:t>Accord de Rattachement (à un Périmètre d’Equilibre)</w:t>
      </w:r>
    </w:p>
    <w:p w14:paraId="5DFD6788" w14:textId="77777777" w:rsidR="00A95F3E" w:rsidRPr="00A27113" w:rsidRDefault="00A95F3E" w:rsidP="009C3752">
      <w:r w:rsidRPr="00A27113">
        <w:t>Accord entre un Responsable d’Equilibre et le Fournisseur en vue du rattachement de tous les Points de Livraison du Périmètre de Facturation du Fournisseur au Périmètre d’Equilibre de ce Responsable d’Equilibre.</w:t>
      </w:r>
    </w:p>
    <w:p w14:paraId="5D79C0FE" w14:textId="77777777" w:rsidR="00A95F3E" w:rsidRPr="00A27113" w:rsidRDefault="00A95F3E" w:rsidP="009C3752">
      <w:pPr>
        <w:rPr>
          <w:b/>
        </w:rPr>
      </w:pPr>
      <w:r w:rsidRPr="00A27113">
        <w:rPr>
          <w:b/>
        </w:rPr>
        <w:t>Alimentation Principale</w:t>
      </w:r>
    </w:p>
    <w:p w14:paraId="22EDC264" w14:textId="77777777" w:rsidR="00A95F3E" w:rsidRPr="00A27113" w:rsidRDefault="00A95F3E" w:rsidP="009C3752">
      <w:r w:rsidRPr="00A27113">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1647424F" w14:textId="77777777" w:rsidR="00A95F3E" w:rsidRPr="00A27113" w:rsidRDefault="00A95F3E" w:rsidP="009C3752">
      <w:pPr>
        <w:rPr>
          <w:b/>
        </w:rPr>
      </w:pPr>
      <w:r w:rsidRPr="00A27113">
        <w:rPr>
          <w:b/>
        </w:rPr>
        <w:t>Alimentation de Secours</w:t>
      </w:r>
    </w:p>
    <w:p w14:paraId="46C78B38" w14:textId="77777777" w:rsidR="00A95F3E" w:rsidRPr="00A27113" w:rsidRDefault="00A95F3E" w:rsidP="009C3752">
      <w:r w:rsidRPr="00A27113">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7034B7DC" w14:textId="77777777" w:rsidR="00A95F3E" w:rsidRPr="00A27113" w:rsidRDefault="00A95F3E" w:rsidP="009C3752">
      <w:pPr>
        <w:rPr>
          <w:b/>
        </w:rPr>
      </w:pPr>
      <w:r w:rsidRPr="00A27113">
        <w:rPr>
          <w:b/>
        </w:rPr>
        <w:t>Alimentation Complémentaire</w:t>
      </w:r>
    </w:p>
    <w:p w14:paraId="317E6EEE" w14:textId="77777777" w:rsidR="00A95F3E" w:rsidRPr="00A27113" w:rsidRDefault="00A95F3E" w:rsidP="009C3752">
      <w:r w:rsidRPr="00A27113">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5A726B9D" w14:textId="77777777" w:rsidR="00A95F3E" w:rsidRPr="00A27113" w:rsidRDefault="00A95F3E" w:rsidP="009C3752">
      <w:pPr>
        <w:rPr>
          <w:b/>
        </w:rPr>
      </w:pPr>
      <w:r w:rsidRPr="00A27113">
        <w:rPr>
          <w:b/>
        </w:rPr>
        <w:t>Branchement</w:t>
      </w:r>
    </w:p>
    <w:p w14:paraId="729746FD" w14:textId="77777777" w:rsidR="00A95F3E" w:rsidRPr="00A27113" w:rsidRDefault="00A95F3E" w:rsidP="009C3752">
      <w:r w:rsidRPr="00A27113">
        <w:t>Est constitué par les parties terminales du RPD qui ont pour fonction d’amener le courant du RPD à l’intérieur des propriétés desservies (au sens du cahier des charges de distribution d‘énergie électrique).</w:t>
      </w:r>
    </w:p>
    <w:p w14:paraId="308B59C3" w14:textId="77777777" w:rsidR="00A95F3E" w:rsidRPr="00A27113" w:rsidRDefault="00A95F3E" w:rsidP="009C3752">
      <w:pPr>
        <w:rPr>
          <w:b/>
        </w:rPr>
      </w:pPr>
      <w:r w:rsidRPr="00A27113">
        <w:rPr>
          <w:b/>
        </w:rPr>
        <w:t>Catalogue des prestations</w:t>
      </w:r>
    </w:p>
    <w:p w14:paraId="6CFF5F6F" w14:textId="77777777" w:rsidR="00A95F3E" w:rsidRPr="00A27113" w:rsidRDefault="00A95F3E" w:rsidP="009C3752">
      <w:r w:rsidRPr="00A27113">
        <w:t xml:space="preserve">Catalogue présentant l’offre </w:t>
      </w:r>
      <w:r>
        <w:t>du GRD</w:t>
      </w:r>
      <w:r w:rsidRPr="00A27113">
        <w:t xml:space="preserve">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site Internet </w:t>
      </w:r>
      <w:r>
        <w:t>du GRD</w:t>
      </w:r>
      <w:r w:rsidRPr="00A27113">
        <w:t>.</w:t>
      </w:r>
    </w:p>
    <w:p w14:paraId="1BFD1E1C" w14:textId="77777777" w:rsidR="00A95F3E" w:rsidRPr="00A27113" w:rsidRDefault="00A95F3E" w:rsidP="009C3752">
      <w:pPr>
        <w:rPr>
          <w:b/>
        </w:rPr>
      </w:pPr>
      <w:r w:rsidRPr="00A27113">
        <w:rPr>
          <w:b/>
        </w:rPr>
        <w:t>Classe Temporelle</w:t>
      </w:r>
    </w:p>
    <w:p w14:paraId="5878EA84" w14:textId="77777777" w:rsidR="00A95F3E" w:rsidRPr="00A27113" w:rsidRDefault="00A95F3E" w:rsidP="009C3752">
      <w:r w:rsidRPr="00A27113">
        <w:t>Ensemble des heures de l'année durant lesquelles le même prix du TURPE s'applique.</w:t>
      </w:r>
    </w:p>
    <w:p w14:paraId="31C9BBB2" w14:textId="77777777" w:rsidR="00A95F3E" w:rsidRPr="00A27113" w:rsidRDefault="00A95F3E" w:rsidP="009C3752">
      <w:pPr>
        <w:rPr>
          <w:b/>
        </w:rPr>
      </w:pPr>
      <w:r w:rsidRPr="00A27113">
        <w:rPr>
          <w:b/>
        </w:rPr>
        <w:t xml:space="preserve">Client </w:t>
      </w:r>
    </w:p>
    <w:p w14:paraId="23326B2A" w14:textId="77777777" w:rsidR="00A95F3E" w:rsidRPr="00A27113" w:rsidRDefault="00A95F3E" w:rsidP="009C3752">
      <w:r w:rsidRPr="00A27113">
        <w:t xml:space="preserve">Utilisateur du RPD consommant de l’électricité achetée à un Fournisseur exclusif via un Contrat Unique. Un Client peut l'être sur plusieurs Sites. </w:t>
      </w:r>
    </w:p>
    <w:p w14:paraId="6045F961" w14:textId="77777777" w:rsidR="00A95F3E" w:rsidRPr="00A27113" w:rsidRDefault="00A95F3E" w:rsidP="009C3752">
      <w:pPr>
        <w:rPr>
          <w:b/>
        </w:rPr>
      </w:pPr>
      <w:r w:rsidRPr="00A27113">
        <w:rPr>
          <w:b/>
        </w:rPr>
        <w:t>Commission de régulation de l’énergie (CRE)</w:t>
      </w:r>
    </w:p>
    <w:p w14:paraId="777CF73F" w14:textId="77777777" w:rsidR="00A95F3E" w:rsidRPr="00A27113" w:rsidRDefault="00A95F3E" w:rsidP="009C3752">
      <w:pPr>
        <w:rPr>
          <w:b/>
        </w:rPr>
      </w:pPr>
      <w:r w:rsidRPr="00A27113">
        <w:t>Désigne la Commission de Régulation de l’Energie, autorité administrative indépendante, instituée par l’article L131-1 du code de l’énergie.</w:t>
      </w:r>
    </w:p>
    <w:p w14:paraId="10261324" w14:textId="77777777" w:rsidR="00A95F3E" w:rsidRPr="00A27113" w:rsidRDefault="00A95F3E" w:rsidP="009C3752"/>
    <w:p w14:paraId="1FB90B3F" w14:textId="77777777" w:rsidR="00A95F3E" w:rsidRPr="00A27113" w:rsidRDefault="00A95F3E" w:rsidP="009C3752">
      <w:pPr>
        <w:rPr>
          <w:b/>
        </w:rPr>
      </w:pPr>
      <w:r w:rsidRPr="00A27113">
        <w:rPr>
          <w:b/>
        </w:rPr>
        <w:t>Compteur</w:t>
      </w:r>
    </w:p>
    <w:p w14:paraId="18F12816" w14:textId="77777777" w:rsidR="00A95F3E" w:rsidRPr="00A27113" w:rsidRDefault="00A95F3E" w:rsidP="009C3752">
      <w:r w:rsidRPr="00A27113">
        <w:t>Equipement de mesure de l’énergie électrique active et/ou réactive consommée ou produite par un Utilis</w:t>
      </w:r>
      <w:r>
        <w:t>a</w:t>
      </w:r>
      <w:r w:rsidRPr="00A27113">
        <w:t>teur du RPD.</w:t>
      </w:r>
    </w:p>
    <w:p w14:paraId="769B904E" w14:textId="77777777" w:rsidR="00A95F3E" w:rsidRPr="00A27113" w:rsidRDefault="00A95F3E" w:rsidP="009C3752">
      <w:pPr>
        <w:rPr>
          <w:b/>
        </w:rPr>
      </w:pPr>
      <w:r w:rsidRPr="00A27113">
        <w:rPr>
          <w:b/>
        </w:rPr>
        <w:t>Compteur Communicant</w:t>
      </w:r>
    </w:p>
    <w:p w14:paraId="48FC0901" w14:textId="77777777" w:rsidR="00A95F3E" w:rsidRPr="00A27113" w:rsidRDefault="00A95F3E" w:rsidP="009C3752">
      <w:r w:rsidRPr="00A27113">
        <w:t>Compteur connecté au réseau de télécommunication et/ou utilisant le courant porteur en li</w:t>
      </w:r>
      <w:r>
        <w:t xml:space="preserve">gne, déclaré comme communicant </w:t>
      </w:r>
      <w:r w:rsidRPr="00A27113">
        <w:t xml:space="preserve">par le GRD et intégré dans les nouveaux systèmes d’information du GRD permettant d’utiliser toutes les fonctionnalités du Compteur Communicant. Ses caractéristiques techniques sont fixées par l’arrêté </w:t>
      </w:r>
      <w:r w:rsidRPr="00A27113">
        <w:rPr>
          <w:bCs/>
        </w:rPr>
        <w:t>du 4 janvier 2012. Le Compteur Communicant est consultable à distance à partir des systèmes d’information administrés par le GRD.</w:t>
      </w:r>
    </w:p>
    <w:p w14:paraId="07F25132" w14:textId="77777777" w:rsidR="00A95F3E" w:rsidRPr="00A27113" w:rsidRDefault="00A95F3E" w:rsidP="009C3752">
      <w:pPr>
        <w:rPr>
          <w:b/>
        </w:rPr>
      </w:pPr>
      <w:r w:rsidRPr="00A27113">
        <w:rPr>
          <w:b/>
        </w:rPr>
        <w:t>Contrat GRD-F (ou GRD-Fournisseur)</w:t>
      </w:r>
    </w:p>
    <w:p w14:paraId="762198DE" w14:textId="77777777" w:rsidR="00A95F3E" w:rsidRPr="00A27113" w:rsidRDefault="00A95F3E" w:rsidP="009C3752">
      <w:r w:rsidRPr="00A27113">
        <w:t>Contrat conclu, y compris ses annexes, entre un GRD et un Fournisseur, relatif à l’accès, et l’utilisation du RPD.  Il est conclu en application de l’article L111-92 du code de l’énergie, en vue de permettre au fournisseur de proposer aux Clients un Contrat Unique.</w:t>
      </w:r>
    </w:p>
    <w:p w14:paraId="01F27536" w14:textId="77777777" w:rsidR="00A95F3E" w:rsidRPr="00A27113" w:rsidRDefault="00A95F3E" w:rsidP="009C3752">
      <w:pPr>
        <w:rPr>
          <w:b/>
        </w:rPr>
      </w:pPr>
      <w:r w:rsidRPr="00A27113">
        <w:rPr>
          <w:b/>
        </w:rPr>
        <w:t>Contrat GRD-RE</w:t>
      </w:r>
    </w:p>
    <w:p w14:paraId="4D875622" w14:textId="77777777" w:rsidR="00A95F3E" w:rsidRPr="00A27113" w:rsidRDefault="00A95F3E" w:rsidP="009C3752">
      <w:pPr>
        <w:rPr>
          <w:b/>
        </w:rPr>
      </w:pPr>
      <w:r w:rsidRPr="00A27113">
        <w:t xml:space="preserve">Contrat conclu entre </w:t>
      </w:r>
      <w:r>
        <w:t>le GRD</w:t>
      </w:r>
      <w:r w:rsidRPr="00A27113">
        <w:t xml:space="preserve"> et un Responsable d’Equilibre relatif au processus de reconstitution des flux </w:t>
      </w:r>
      <w:r>
        <w:t>du GRD</w:t>
      </w:r>
      <w:r w:rsidRPr="00A27113">
        <w:t xml:space="preserve"> vers RTE pour le calcul des Ecarts des Responsables d’Equilibre.</w:t>
      </w:r>
    </w:p>
    <w:p w14:paraId="5C003510" w14:textId="77777777" w:rsidR="00A95F3E" w:rsidRPr="00A27113" w:rsidRDefault="00A95F3E" w:rsidP="009C3752">
      <w:pPr>
        <w:rPr>
          <w:b/>
        </w:rPr>
      </w:pPr>
      <w:r w:rsidRPr="00A27113">
        <w:rPr>
          <w:b/>
        </w:rPr>
        <w:t>Contrat Unique</w:t>
      </w:r>
    </w:p>
    <w:p w14:paraId="0F008813" w14:textId="77777777" w:rsidR="00A95F3E" w:rsidRPr="00A27113" w:rsidRDefault="00A95F3E" w:rsidP="009C3752">
      <w:r w:rsidRPr="00A27113">
        <w:t xml:space="preserve">Contrat regroupant la fourniture d’électricité, l’accès et l’utilisation du RPD, signé entre un Client et un Fournisseur unique pour un ou des Points de Livraison. Il suppose l'existence d’un Contrat GRD-F préalablement conclu entre le Fournisseur concerné et </w:t>
      </w:r>
      <w:r>
        <w:t>le GRD</w:t>
      </w:r>
      <w:r w:rsidRPr="00A27113">
        <w:t>.</w:t>
      </w:r>
    </w:p>
    <w:p w14:paraId="2270EB8A" w14:textId="77777777" w:rsidR="00A95F3E" w:rsidRPr="00A27113" w:rsidRDefault="00A95F3E" w:rsidP="009C3752">
      <w:pPr>
        <w:rPr>
          <w:b/>
        </w:rPr>
      </w:pPr>
      <w:r w:rsidRPr="00A27113">
        <w:rPr>
          <w:b/>
        </w:rPr>
        <w:t>Convention d'Exploitation</w:t>
      </w:r>
    </w:p>
    <w:p w14:paraId="6108CE2B" w14:textId="77777777" w:rsidR="00A95F3E" w:rsidRPr="00A27113" w:rsidRDefault="00A95F3E" w:rsidP="009C3752">
      <w:r w:rsidRPr="00A27113">
        <w:t xml:space="preserve">Document contractuel défini par les articles D342-10 et D342-12 du code de l’énergie, conclu avec </w:t>
      </w:r>
      <w:r>
        <w:t>le GRD</w:t>
      </w:r>
      <w:r w:rsidRPr="00A27113">
        <w:t xml:space="preserve"> par l'exploitant de l'installation du Client. La Convention d'Exploitation précise les règles nécessaires pour permettre l'exploitation de l'installation en cohérence avec les règles d'exploitation du RPD généralement en HTA.</w:t>
      </w:r>
    </w:p>
    <w:p w14:paraId="29DA3AF0" w14:textId="77777777" w:rsidR="00A95F3E" w:rsidRPr="00A27113" w:rsidRDefault="00A95F3E" w:rsidP="009C3752">
      <w:pPr>
        <w:rPr>
          <w:b/>
        </w:rPr>
      </w:pPr>
      <w:r w:rsidRPr="00A27113">
        <w:rPr>
          <w:b/>
        </w:rPr>
        <w:t>Convention de Raccordement</w:t>
      </w:r>
    </w:p>
    <w:p w14:paraId="3413D192" w14:textId="77777777" w:rsidR="00A95F3E" w:rsidRPr="00A27113" w:rsidRDefault="00A95F3E" w:rsidP="009C3752">
      <w:r w:rsidRPr="00A27113">
        <w:t xml:space="preserve">Document contractuel défini par les articles D342-10 et 11 du code de l’énergie, conclu avec </w:t>
      </w:r>
      <w:r>
        <w:t>le GRD</w:t>
      </w:r>
      <w:r w:rsidRPr="00A27113">
        <w:t xml:space="preserve">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775B9358" w14:textId="77777777" w:rsidR="00A95F3E" w:rsidRPr="00A27113" w:rsidRDefault="00A95F3E" w:rsidP="009C3752">
      <w:pPr>
        <w:rPr>
          <w:b/>
        </w:rPr>
      </w:pPr>
      <w:r w:rsidRPr="00A27113">
        <w:rPr>
          <w:b/>
        </w:rPr>
        <w:t>CoRDiS</w:t>
      </w:r>
    </w:p>
    <w:p w14:paraId="0F3097D9" w14:textId="77777777" w:rsidR="00A95F3E" w:rsidRPr="00A27113" w:rsidRDefault="00A95F3E" w:rsidP="009C3752">
      <w:r w:rsidRPr="00A27113">
        <w:t xml:space="preserve">Comité de Règlement des Différends et des Sanctions de la </w:t>
      </w:r>
      <w:r w:rsidRPr="00A27113">
        <w:rPr>
          <w:bCs/>
        </w:rPr>
        <w:t>CRE</w:t>
      </w:r>
      <w:r w:rsidRPr="00A27113">
        <w:t>.</w:t>
      </w:r>
    </w:p>
    <w:p w14:paraId="563E237E" w14:textId="77777777" w:rsidR="00A95F3E" w:rsidRPr="00A27113" w:rsidRDefault="00A95F3E" w:rsidP="009C3752">
      <w:pPr>
        <w:rPr>
          <w:b/>
        </w:rPr>
      </w:pPr>
      <w:r w:rsidRPr="00A27113">
        <w:rPr>
          <w:b/>
        </w:rPr>
        <w:t>Coupure, Coupure Brève, Coupure Longue</w:t>
      </w:r>
      <w:r>
        <w:rPr>
          <w:b/>
        </w:rPr>
        <w:t xml:space="preserve"> </w:t>
      </w:r>
    </w:p>
    <w:p w14:paraId="28E47370" w14:textId="77777777" w:rsidR="00A95F3E" w:rsidRPr="00F83832" w:rsidRDefault="00A95F3E" w:rsidP="009C3752">
      <w:r w:rsidRPr="00F83832">
        <w:t>Il y a Coupure lorsque les valeurs efficaces de l’ensemble des tensions entre phases délivrées sont simultanément inférieures à 5% de la Tension Contractuelle U</w:t>
      </w:r>
      <w:r w:rsidRPr="00F83832">
        <w:rPr>
          <w:position w:val="-4"/>
          <w:vertAlign w:val="subscript"/>
        </w:rPr>
        <w:t>c</w:t>
      </w:r>
      <w:r w:rsidRPr="00F83832">
        <w:t xml:space="preserve"> pendant une durée supérieure ou égale à 1 seconde, au Point de Livraison. La mesure de la valeur efficace est effectuée indépendamment sur chacune des 3 tensions entre phases, conformément à la norme CEI 61000-4-30.</w:t>
      </w:r>
    </w:p>
    <w:p w14:paraId="5F2D6148" w14:textId="77777777" w:rsidR="00A95F3E" w:rsidRPr="00F83832" w:rsidRDefault="00A95F3E" w:rsidP="009C3752">
      <w:r w:rsidRPr="00F83832">
        <w:t xml:space="preserve">Une Coupure Brève a une durée supérieure ou égale à 1 seconde et inférieure ou égale à 3 minutes. </w:t>
      </w:r>
    </w:p>
    <w:p w14:paraId="6AF9FFF0" w14:textId="77777777" w:rsidR="00A95F3E" w:rsidRPr="00A27113" w:rsidRDefault="00A95F3E" w:rsidP="009C3752">
      <w:r w:rsidRPr="00F83832">
        <w:t>Une Coupure Longue a une durée supérieure à 3 minutes.</w:t>
      </w:r>
    </w:p>
    <w:p w14:paraId="13DC92E6" w14:textId="77777777" w:rsidR="00A95F3E" w:rsidRPr="00A27113" w:rsidRDefault="00A95F3E" w:rsidP="009C3752">
      <w:pPr>
        <w:rPr>
          <w:b/>
        </w:rPr>
      </w:pPr>
      <w:r w:rsidRPr="00A27113">
        <w:rPr>
          <w:b/>
        </w:rPr>
        <w:t>Courbe de Charge</w:t>
      </w:r>
    </w:p>
    <w:p w14:paraId="0FFC4D03" w14:textId="77777777" w:rsidR="00A95F3E" w:rsidRPr="00A27113" w:rsidRDefault="00A95F3E" w:rsidP="009C3752">
      <w:r w:rsidRPr="00A27113">
        <w:t>Ensemble de valeurs moyennes horodatées de la puissance active ou réactive soutirée, sur des périodes d’intégration consécutives et de même durée.</w:t>
      </w:r>
    </w:p>
    <w:p w14:paraId="5D231C31" w14:textId="77777777" w:rsidR="00A95F3E" w:rsidRPr="00A27113" w:rsidRDefault="00A95F3E" w:rsidP="009C3752">
      <w:pPr>
        <w:rPr>
          <w:b/>
        </w:rPr>
      </w:pPr>
    </w:p>
    <w:p w14:paraId="26FD752B" w14:textId="77777777" w:rsidR="00A95F3E" w:rsidRPr="00A27113" w:rsidRDefault="00A95F3E" w:rsidP="009C3752">
      <w:pPr>
        <w:rPr>
          <w:b/>
        </w:rPr>
      </w:pPr>
    </w:p>
    <w:p w14:paraId="6484C5A4" w14:textId="77777777" w:rsidR="00A95F3E" w:rsidRPr="00A27113" w:rsidRDefault="00A95F3E" w:rsidP="009C3752">
      <w:pPr>
        <w:rPr>
          <w:b/>
        </w:rPr>
      </w:pPr>
      <w:r w:rsidRPr="00A27113">
        <w:rPr>
          <w:b/>
        </w:rPr>
        <w:t>Creux de Tension</w:t>
      </w:r>
    </w:p>
    <w:p w14:paraId="549F084F" w14:textId="77777777" w:rsidR="00A95F3E" w:rsidRPr="00A27113" w:rsidRDefault="00A95F3E" w:rsidP="009C3752">
      <w:r w:rsidRPr="00A27113">
        <w:t>Diminution brusque de la Tension de Fourniture (U</w:t>
      </w:r>
      <w:r w:rsidRPr="00A27113">
        <w:rPr>
          <w:vertAlign w:val="subscript"/>
        </w:rPr>
        <w:t>f</w:t>
      </w:r>
      <w:r w:rsidRPr="00A27113">
        <w:t>) à une valeur située entre 90% et 1% de la Tension Contractuelle (U</w:t>
      </w:r>
      <w:r w:rsidRPr="00A27113">
        <w:rPr>
          <w:vertAlign w:val="subscript"/>
        </w:rPr>
        <w:t>c</w:t>
      </w:r>
      <w:r w:rsidRPr="00A27113">
        <w:t>), suivie du rétablissement de la tension après un court laps de temps. Les caractéristiques des Creux de Tension sont définies par la norme NF EN 50-160.</w:t>
      </w:r>
    </w:p>
    <w:p w14:paraId="740E8F78" w14:textId="77777777" w:rsidR="00A95F3E" w:rsidRPr="00A27113" w:rsidRDefault="00A95F3E" w:rsidP="009C3752">
      <w:pPr>
        <w:rPr>
          <w:b/>
        </w:rPr>
      </w:pPr>
      <w:r w:rsidRPr="00A27113">
        <w:rPr>
          <w:b/>
        </w:rPr>
        <w:t>Déconnexion</w:t>
      </w:r>
    </w:p>
    <w:p w14:paraId="6DA2E773" w14:textId="77777777" w:rsidR="00A95F3E" w:rsidRPr="00A27113" w:rsidRDefault="00A95F3E" w:rsidP="009C3752">
      <w:r w:rsidRPr="00A27113">
        <w:t>Mise hors tension définitive des installations du Client.</w:t>
      </w:r>
    </w:p>
    <w:p w14:paraId="1D962688" w14:textId="77777777" w:rsidR="00A95F3E" w:rsidRPr="00A27113" w:rsidRDefault="00A95F3E" w:rsidP="009C3752">
      <w:pPr>
        <w:rPr>
          <w:b/>
        </w:rPr>
      </w:pPr>
      <w:r w:rsidRPr="00A27113">
        <w:rPr>
          <w:b/>
        </w:rPr>
        <w:t>Déséquilibres de la Tension</w:t>
      </w:r>
    </w:p>
    <w:p w14:paraId="2450FDB5" w14:textId="77777777" w:rsidR="00A95F3E" w:rsidRPr="00A27113" w:rsidRDefault="00A95F3E" w:rsidP="009C3752">
      <w:r>
        <w:t>Le GRD</w:t>
      </w:r>
      <w:r w:rsidRPr="00A27113">
        <w:t xml:space="preserve">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Pr="00A27113">
        <w:sym w:font="Symbol" w:char="F074"/>
      </w:r>
      <w:r w:rsidRPr="00A27113">
        <w:rPr>
          <w:vertAlign w:val="subscript"/>
        </w:rPr>
        <w:t>i</w:t>
      </w:r>
      <w:r w:rsidRPr="00A27113">
        <w:t xml:space="preserve"> est la valeur instantanée du déséquilibre, on définit le taux moyen </w:t>
      </w:r>
      <w:r w:rsidRPr="00A27113">
        <w:sym w:font="Symbol" w:char="F074"/>
      </w:r>
      <w:r w:rsidRPr="00A27113">
        <w:rPr>
          <w:vertAlign w:val="subscript"/>
        </w:rPr>
        <w:t>vm</w:t>
      </w:r>
      <w:r w:rsidRPr="00A27113">
        <w:t xml:space="preserve"> par la relation </w:t>
      </w:r>
      <w:r w:rsidRPr="00A27113">
        <w:rPr>
          <w:noProof/>
          <w:position w:val="-26"/>
        </w:rPr>
        <w:object w:dxaOrig="1640" w:dyaOrig="660" w14:anchorId="5281AE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v:imagedata r:id="rId15" o:title=""/>
          </v:shape>
          <o:OLEObject Type="Embed" ProgID="Equation.3" ShapeID="_x0000_i1025" DrawAspect="Content" ObjectID="_1688299172" r:id="rId16"/>
        </w:object>
      </w:r>
      <w:r w:rsidRPr="00A27113">
        <w:t>, où T = 10 minutes.</w:t>
      </w:r>
      <w:r w:rsidRPr="00A27113">
        <w:rPr>
          <w:position w:val="-38"/>
        </w:rPr>
        <w:t xml:space="preserve"> </w:t>
      </w:r>
      <w:r w:rsidRPr="00A27113">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5221DB79" w14:textId="77777777" w:rsidR="00A95F3E" w:rsidRPr="00A27113" w:rsidRDefault="00A95F3E" w:rsidP="009C3752">
      <w:pPr>
        <w:rPr>
          <w:b/>
        </w:rPr>
      </w:pPr>
      <w:r w:rsidRPr="00A27113">
        <w:rPr>
          <w:b/>
        </w:rPr>
        <w:t>Disjoncteur (ou Disjoncteur de branchement)</w:t>
      </w:r>
    </w:p>
    <w:p w14:paraId="77ED9F2C" w14:textId="77777777" w:rsidR="00A95F3E" w:rsidRPr="00A27113" w:rsidRDefault="00A95F3E" w:rsidP="009C3752">
      <w:r w:rsidRPr="00A27113">
        <w:t>L’appareil général de commande et de protection (AGCP) pour les Branchements ou la puissance appelée par l’Utilisateur est limitée à la va</w:t>
      </w:r>
      <w:r>
        <w:t xml:space="preserve">leur souscrite par ce dernier, </w:t>
      </w:r>
      <w:r w:rsidRPr="00A27113">
        <w:t>selon la norme C14-100.</w:t>
      </w:r>
    </w:p>
    <w:p w14:paraId="7200629A" w14:textId="77777777" w:rsidR="00A95F3E" w:rsidRPr="00A27113" w:rsidRDefault="00A95F3E" w:rsidP="009C3752">
      <w:pPr>
        <w:rPr>
          <w:rFonts w:ascii="Calibri" w:hAnsi="Calibri"/>
        </w:rPr>
      </w:pPr>
      <w:r w:rsidRPr="00A27113">
        <w:t>Il coupe le courant en cas d’incident (court-circuit…) ou lorsque l’intensité dépasse une valeur pré-réglée. Une fois le problème résolu, le courant peut être rétabli en réarmant le disjoncteur.</w:t>
      </w:r>
    </w:p>
    <w:p w14:paraId="13D3A575" w14:textId="77777777" w:rsidR="00A95F3E" w:rsidRPr="00A27113" w:rsidRDefault="00A95F3E" w:rsidP="009C3752">
      <w:pPr>
        <w:rPr>
          <w:b/>
        </w:rPr>
      </w:pPr>
      <w:r w:rsidRPr="00A27113">
        <w:rPr>
          <w:b/>
        </w:rPr>
        <w:t>Dispositif de comptage</w:t>
      </w:r>
    </w:p>
    <w:p w14:paraId="397F488E" w14:textId="77777777" w:rsidR="00A95F3E" w:rsidRPr="00A27113" w:rsidRDefault="00A95F3E" w:rsidP="009C3752">
      <w:r w:rsidRPr="00A27113">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630F3B43" w14:textId="77777777" w:rsidR="00A95F3E" w:rsidRPr="00A27113" w:rsidRDefault="00A95F3E" w:rsidP="009C3752">
      <w:pPr>
        <w:rPr>
          <w:b/>
        </w:rPr>
      </w:pPr>
      <w:r w:rsidRPr="00A27113">
        <w:rPr>
          <w:b/>
        </w:rPr>
        <w:t>Domaine de Tension</w:t>
      </w:r>
    </w:p>
    <w:p w14:paraId="5A6164B6" w14:textId="77777777" w:rsidR="00A95F3E" w:rsidRPr="00A27113" w:rsidRDefault="00A95F3E" w:rsidP="003101B2">
      <w:pPr>
        <w:spacing w:after="240"/>
      </w:pPr>
      <w:r w:rsidRPr="00A27113">
        <w:t>Les Domaines de Tension des réseaux publics de transport et de distribution en courant alternatif sont définis, conformément au TURPE, par le tableau ci- dessous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A95F3E" w:rsidRPr="00A27113" w14:paraId="5DBB1AF2" w14:textId="77777777" w:rsidTr="00F97290">
        <w:trPr>
          <w:cantSplit/>
          <w:jc w:val="center"/>
        </w:trPr>
        <w:tc>
          <w:tcPr>
            <w:tcW w:w="2200" w:type="dxa"/>
            <w:tcBorders>
              <w:top w:val="single" w:sz="6" w:space="0" w:color="auto"/>
              <w:left w:val="single" w:sz="6" w:space="0" w:color="auto"/>
              <w:bottom w:val="single" w:sz="6" w:space="0" w:color="auto"/>
              <w:right w:val="nil"/>
            </w:tcBorders>
          </w:tcPr>
          <w:p w14:paraId="65617F1E" w14:textId="77777777" w:rsidR="00A95F3E" w:rsidRPr="00A27113" w:rsidRDefault="00A95F3E" w:rsidP="00E347FD">
            <w:pPr>
              <w:spacing w:before="0" w:after="0"/>
              <w:jc w:val="center"/>
            </w:pPr>
            <w:r w:rsidRPr="00A27113">
              <w:t>Tension de raccordement (U)</w:t>
            </w:r>
          </w:p>
        </w:tc>
        <w:tc>
          <w:tcPr>
            <w:tcW w:w="3450" w:type="dxa"/>
            <w:gridSpan w:val="3"/>
            <w:tcBorders>
              <w:top w:val="single" w:sz="6" w:space="0" w:color="auto"/>
              <w:left w:val="single" w:sz="6" w:space="0" w:color="auto"/>
              <w:right w:val="single" w:sz="6" w:space="0" w:color="auto"/>
            </w:tcBorders>
          </w:tcPr>
          <w:p w14:paraId="68569C67" w14:textId="77777777" w:rsidR="00A95F3E" w:rsidRPr="00A27113" w:rsidRDefault="00A95F3E" w:rsidP="00E347FD">
            <w:pPr>
              <w:spacing w:before="0" w:after="0"/>
              <w:jc w:val="center"/>
            </w:pPr>
            <w:r w:rsidRPr="00A27113">
              <w:t>Domaine de tension</w:t>
            </w:r>
          </w:p>
        </w:tc>
      </w:tr>
      <w:tr w:rsidR="00A95F3E" w:rsidRPr="00A27113" w14:paraId="5DEB422F" w14:textId="77777777" w:rsidTr="003101B2">
        <w:trPr>
          <w:cantSplit/>
          <w:jc w:val="center"/>
        </w:trPr>
        <w:tc>
          <w:tcPr>
            <w:tcW w:w="2200" w:type="dxa"/>
            <w:tcBorders>
              <w:top w:val="single" w:sz="6" w:space="0" w:color="auto"/>
              <w:left w:val="single" w:sz="6" w:space="0" w:color="auto"/>
              <w:bottom w:val="single" w:sz="6" w:space="0" w:color="auto"/>
              <w:right w:val="nil"/>
            </w:tcBorders>
            <w:vAlign w:val="center"/>
          </w:tcPr>
          <w:p w14:paraId="6E059598" w14:textId="77777777" w:rsidR="00A95F3E" w:rsidRPr="00A27113" w:rsidRDefault="00A95F3E" w:rsidP="003101B2">
            <w:pPr>
              <w:spacing w:before="0" w:after="0"/>
              <w:jc w:val="center"/>
              <w:rPr>
                <w:lang w:val="nl-NL"/>
              </w:rPr>
            </w:pPr>
            <w:r w:rsidRPr="00A27113">
              <w:rPr>
                <w:lang w:val="nl-NL"/>
              </w:rPr>
              <w:t>U ≤ 1 kV</w:t>
            </w:r>
          </w:p>
        </w:tc>
        <w:tc>
          <w:tcPr>
            <w:tcW w:w="1725" w:type="dxa"/>
            <w:gridSpan w:val="2"/>
            <w:tcBorders>
              <w:left w:val="single" w:sz="6" w:space="0" w:color="auto"/>
              <w:right w:val="single" w:sz="6" w:space="0" w:color="auto"/>
            </w:tcBorders>
            <w:vAlign w:val="center"/>
          </w:tcPr>
          <w:p w14:paraId="6748E6B2" w14:textId="77777777" w:rsidR="00A95F3E" w:rsidRPr="00A27113" w:rsidRDefault="00A95F3E" w:rsidP="003101B2">
            <w:pPr>
              <w:spacing w:before="0" w:after="0"/>
              <w:jc w:val="center"/>
              <w:rPr>
                <w:lang w:val="nl-NL"/>
              </w:rPr>
            </w:pPr>
            <w:r w:rsidRPr="00A27113">
              <w:rPr>
                <w:lang w:val="nl-NL"/>
              </w:rPr>
              <w:t>BT</w:t>
            </w:r>
          </w:p>
        </w:tc>
        <w:tc>
          <w:tcPr>
            <w:tcW w:w="1725" w:type="dxa"/>
            <w:tcBorders>
              <w:left w:val="single" w:sz="6" w:space="0" w:color="auto"/>
              <w:right w:val="single" w:sz="6" w:space="0" w:color="auto"/>
            </w:tcBorders>
            <w:vAlign w:val="center"/>
          </w:tcPr>
          <w:p w14:paraId="72C72BE1" w14:textId="77777777" w:rsidR="00A95F3E" w:rsidRPr="00A27113" w:rsidRDefault="00A95F3E" w:rsidP="003101B2">
            <w:pPr>
              <w:spacing w:before="0" w:after="0"/>
              <w:jc w:val="center"/>
              <w:rPr>
                <w:lang w:val="nl-NL"/>
              </w:rPr>
            </w:pPr>
            <w:r w:rsidRPr="00A27113">
              <w:rPr>
                <w:lang w:val="nl-NL"/>
              </w:rPr>
              <w:t>Domaine basse tension</w:t>
            </w:r>
          </w:p>
        </w:tc>
      </w:tr>
      <w:tr w:rsidR="00A95F3E" w:rsidRPr="00A27113" w14:paraId="237DB7C6" w14:textId="77777777" w:rsidTr="003101B2">
        <w:trPr>
          <w:cantSplit/>
          <w:jc w:val="center"/>
        </w:trPr>
        <w:tc>
          <w:tcPr>
            <w:tcW w:w="2200" w:type="dxa"/>
            <w:tcBorders>
              <w:top w:val="single" w:sz="6" w:space="0" w:color="auto"/>
              <w:left w:val="single" w:sz="6" w:space="0" w:color="auto"/>
              <w:bottom w:val="single" w:sz="6" w:space="0" w:color="auto"/>
              <w:right w:val="nil"/>
            </w:tcBorders>
            <w:vAlign w:val="center"/>
          </w:tcPr>
          <w:p w14:paraId="2556F133" w14:textId="77777777" w:rsidR="00A95F3E" w:rsidRPr="00A27113" w:rsidRDefault="00A95F3E" w:rsidP="003101B2">
            <w:pPr>
              <w:spacing w:before="0" w:after="0"/>
              <w:jc w:val="center"/>
              <w:rPr>
                <w:lang w:val="nl-NL"/>
              </w:rPr>
            </w:pPr>
            <w:r w:rsidRPr="00A27113">
              <w:rPr>
                <w:lang w:val="nl-NL"/>
              </w:rPr>
              <w:t>1 kV &lt;U ≤ 40 kV</w:t>
            </w:r>
          </w:p>
        </w:tc>
        <w:tc>
          <w:tcPr>
            <w:tcW w:w="990" w:type="dxa"/>
            <w:tcBorders>
              <w:left w:val="single" w:sz="6" w:space="0" w:color="auto"/>
              <w:right w:val="single" w:sz="6" w:space="0" w:color="auto"/>
            </w:tcBorders>
            <w:vAlign w:val="center"/>
          </w:tcPr>
          <w:p w14:paraId="136FE921" w14:textId="77777777" w:rsidR="00A95F3E" w:rsidRPr="00A27113" w:rsidRDefault="00A95F3E" w:rsidP="003101B2">
            <w:pPr>
              <w:spacing w:before="0" w:after="0"/>
              <w:jc w:val="center"/>
              <w:rPr>
                <w:lang w:val="nl-NL"/>
              </w:rPr>
            </w:pPr>
            <w:r w:rsidRPr="00A27113">
              <w:rPr>
                <w:lang w:val="nl-NL"/>
              </w:rPr>
              <w:t>HTA 1</w:t>
            </w:r>
          </w:p>
        </w:tc>
        <w:tc>
          <w:tcPr>
            <w:tcW w:w="735" w:type="dxa"/>
            <w:vMerge w:val="restart"/>
            <w:tcBorders>
              <w:left w:val="single" w:sz="6" w:space="0" w:color="auto"/>
              <w:right w:val="single" w:sz="6" w:space="0" w:color="auto"/>
            </w:tcBorders>
            <w:vAlign w:val="center"/>
          </w:tcPr>
          <w:p w14:paraId="474F41EC" w14:textId="77777777" w:rsidR="00A95F3E" w:rsidRPr="00A27113" w:rsidRDefault="00A95F3E" w:rsidP="003101B2">
            <w:pPr>
              <w:spacing w:before="0" w:after="0"/>
              <w:jc w:val="center"/>
              <w:rPr>
                <w:lang w:val="nl-NL"/>
              </w:rPr>
            </w:pPr>
            <w:r w:rsidRPr="00A27113">
              <w:rPr>
                <w:lang w:val="nl-NL"/>
              </w:rPr>
              <w:t>HTA</w:t>
            </w:r>
          </w:p>
        </w:tc>
        <w:tc>
          <w:tcPr>
            <w:tcW w:w="1725" w:type="dxa"/>
            <w:vMerge w:val="restart"/>
            <w:tcBorders>
              <w:left w:val="single" w:sz="6" w:space="0" w:color="auto"/>
              <w:right w:val="single" w:sz="6" w:space="0" w:color="auto"/>
            </w:tcBorders>
            <w:vAlign w:val="center"/>
          </w:tcPr>
          <w:p w14:paraId="46A0D7A5" w14:textId="77777777" w:rsidR="00A95F3E" w:rsidRPr="00A27113" w:rsidRDefault="00A95F3E" w:rsidP="00E347FD">
            <w:pPr>
              <w:spacing w:before="0" w:after="0"/>
              <w:jc w:val="center"/>
              <w:rPr>
                <w:lang w:val="nl-NL"/>
              </w:rPr>
            </w:pPr>
            <w:r w:rsidRPr="00A27113">
              <w:rPr>
                <w:lang w:val="nl-NL"/>
              </w:rPr>
              <w:t>Domaine haute tension</w:t>
            </w:r>
          </w:p>
        </w:tc>
      </w:tr>
      <w:tr w:rsidR="00A95F3E" w:rsidRPr="00A27113" w14:paraId="08F100F0" w14:textId="77777777" w:rsidTr="003101B2">
        <w:trPr>
          <w:cantSplit/>
          <w:jc w:val="center"/>
        </w:trPr>
        <w:tc>
          <w:tcPr>
            <w:tcW w:w="2200" w:type="dxa"/>
            <w:tcBorders>
              <w:top w:val="single" w:sz="6" w:space="0" w:color="auto"/>
              <w:left w:val="single" w:sz="6" w:space="0" w:color="auto"/>
              <w:bottom w:val="single" w:sz="6" w:space="0" w:color="auto"/>
              <w:right w:val="nil"/>
            </w:tcBorders>
            <w:vAlign w:val="center"/>
          </w:tcPr>
          <w:p w14:paraId="28FFF0D0" w14:textId="77777777" w:rsidR="00A95F3E" w:rsidRPr="00A27113" w:rsidRDefault="00A95F3E" w:rsidP="003101B2">
            <w:pPr>
              <w:spacing w:before="0" w:after="0"/>
              <w:jc w:val="center"/>
              <w:rPr>
                <w:lang w:val="nl-NL"/>
              </w:rPr>
            </w:pPr>
            <w:r w:rsidRPr="00A27113">
              <w:rPr>
                <w:lang w:val="nl-NL"/>
              </w:rPr>
              <w:t>40 kV &lt;U ≤ 50 kV</w:t>
            </w:r>
          </w:p>
        </w:tc>
        <w:tc>
          <w:tcPr>
            <w:tcW w:w="990" w:type="dxa"/>
            <w:tcBorders>
              <w:left w:val="single" w:sz="6" w:space="0" w:color="auto"/>
              <w:bottom w:val="single" w:sz="6" w:space="0" w:color="auto"/>
              <w:right w:val="single" w:sz="6" w:space="0" w:color="auto"/>
            </w:tcBorders>
            <w:vAlign w:val="center"/>
          </w:tcPr>
          <w:p w14:paraId="7DC612C8" w14:textId="77777777" w:rsidR="00A95F3E" w:rsidRPr="00A27113" w:rsidRDefault="00A95F3E" w:rsidP="003101B2">
            <w:pPr>
              <w:jc w:val="center"/>
              <w:rPr>
                <w:lang w:val="nl-NL"/>
              </w:rPr>
            </w:pPr>
            <w:r w:rsidRPr="00A27113">
              <w:rPr>
                <w:lang w:val="nl-NL"/>
              </w:rPr>
              <w:t>HTA 2</w:t>
            </w:r>
          </w:p>
        </w:tc>
        <w:tc>
          <w:tcPr>
            <w:tcW w:w="735" w:type="dxa"/>
            <w:vMerge/>
            <w:tcBorders>
              <w:left w:val="single" w:sz="6" w:space="0" w:color="auto"/>
              <w:bottom w:val="single" w:sz="6" w:space="0" w:color="auto"/>
              <w:right w:val="single" w:sz="6" w:space="0" w:color="auto"/>
            </w:tcBorders>
            <w:vAlign w:val="center"/>
          </w:tcPr>
          <w:p w14:paraId="32CB7DD7" w14:textId="77777777" w:rsidR="00A95F3E" w:rsidRPr="00A27113" w:rsidRDefault="00A95F3E" w:rsidP="003101B2">
            <w:pPr>
              <w:jc w:val="center"/>
              <w:rPr>
                <w:lang w:val="nl-NL"/>
              </w:rPr>
            </w:pPr>
          </w:p>
        </w:tc>
        <w:tc>
          <w:tcPr>
            <w:tcW w:w="1725" w:type="dxa"/>
            <w:vMerge/>
            <w:tcBorders>
              <w:left w:val="single" w:sz="6" w:space="0" w:color="auto"/>
              <w:right w:val="single" w:sz="6" w:space="0" w:color="auto"/>
            </w:tcBorders>
          </w:tcPr>
          <w:p w14:paraId="43A76C42" w14:textId="77777777" w:rsidR="00A95F3E" w:rsidRPr="00A27113" w:rsidRDefault="00A95F3E" w:rsidP="00E347FD">
            <w:pPr>
              <w:jc w:val="center"/>
              <w:rPr>
                <w:lang w:val="nl-NL"/>
              </w:rPr>
            </w:pPr>
          </w:p>
        </w:tc>
      </w:tr>
      <w:tr w:rsidR="00A95F3E" w:rsidRPr="00A27113" w14:paraId="56E98B9B" w14:textId="77777777" w:rsidTr="003101B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20BDAC50" w14:textId="77777777" w:rsidR="00A95F3E" w:rsidRPr="00A27113" w:rsidRDefault="00A95F3E" w:rsidP="003101B2">
            <w:pPr>
              <w:jc w:val="center"/>
              <w:rPr>
                <w:lang w:val="nl-NL"/>
              </w:rPr>
            </w:pPr>
            <w:r w:rsidRPr="00A27113">
              <w:rPr>
                <w:lang w:val="nl-NL"/>
              </w:rPr>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27884A96" w14:textId="77777777" w:rsidR="00A95F3E" w:rsidRPr="00A27113" w:rsidRDefault="00A95F3E" w:rsidP="003101B2">
            <w:pPr>
              <w:jc w:val="center"/>
              <w:rPr>
                <w:lang w:val="nl-NL"/>
              </w:rPr>
            </w:pPr>
            <w:r w:rsidRPr="00A27113">
              <w:rPr>
                <w:lang w:val="nl-NL"/>
              </w:rPr>
              <w:t>HTB 1</w:t>
            </w:r>
          </w:p>
        </w:tc>
        <w:tc>
          <w:tcPr>
            <w:tcW w:w="735" w:type="dxa"/>
            <w:tcBorders>
              <w:top w:val="single" w:sz="6" w:space="0" w:color="auto"/>
              <w:left w:val="single" w:sz="6" w:space="0" w:color="auto"/>
              <w:bottom w:val="nil"/>
              <w:right w:val="single" w:sz="6" w:space="0" w:color="auto"/>
            </w:tcBorders>
            <w:vAlign w:val="center"/>
          </w:tcPr>
          <w:p w14:paraId="32A227F2" w14:textId="77777777" w:rsidR="00A95F3E" w:rsidRPr="00A27113" w:rsidRDefault="00A95F3E" w:rsidP="003101B2">
            <w:pPr>
              <w:jc w:val="center"/>
              <w:rPr>
                <w:lang w:val="nl-NL"/>
              </w:rPr>
            </w:pPr>
          </w:p>
        </w:tc>
        <w:tc>
          <w:tcPr>
            <w:tcW w:w="1725" w:type="dxa"/>
            <w:vMerge/>
            <w:tcBorders>
              <w:left w:val="single" w:sz="6" w:space="0" w:color="auto"/>
              <w:right w:val="single" w:sz="6" w:space="0" w:color="auto"/>
            </w:tcBorders>
          </w:tcPr>
          <w:p w14:paraId="11E34562" w14:textId="77777777" w:rsidR="00A95F3E" w:rsidRPr="00A27113" w:rsidRDefault="00A95F3E" w:rsidP="009C3752">
            <w:pPr>
              <w:rPr>
                <w:lang w:val="nl-NL"/>
              </w:rPr>
            </w:pPr>
          </w:p>
        </w:tc>
      </w:tr>
      <w:tr w:rsidR="00A95F3E" w:rsidRPr="00A27113" w14:paraId="0BC12C25" w14:textId="77777777" w:rsidTr="003101B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589D8C54" w14:textId="77777777" w:rsidR="00A95F3E" w:rsidRPr="00A27113" w:rsidRDefault="00A95F3E" w:rsidP="003101B2">
            <w:pPr>
              <w:jc w:val="center"/>
              <w:rPr>
                <w:lang w:val="nl-NL"/>
              </w:rPr>
            </w:pPr>
            <w:r w:rsidRPr="00A27113">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2F1D563F" w14:textId="77777777" w:rsidR="00A95F3E" w:rsidRPr="00A27113" w:rsidRDefault="00A95F3E" w:rsidP="003101B2">
            <w:pPr>
              <w:jc w:val="center"/>
              <w:rPr>
                <w:lang w:val="nl-NL"/>
              </w:rPr>
            </w:pPr>
            <w:r w:rsidRPr="00A27113">
              <w:rPr>
                <w:lang w:val="nl-NL"/>
              </w:rPr>
              <w:t>HTB 2</w:t>
            </w:r>
          </w:p>
        </w:tc>
        <w:tc>
          <w:tcPr>
            <w:tcW w:w="735" w:type="dxa"/>
            <w:tcBorders>
              <w:top w:val="nil"/>
              <w:left w:val="single" w:sz="6" w:space="0" w:color="auto"/>
              <w:bottom w:val="nil"/>
              <w:right w:val="single" w:sz="6" w:space="0" w:color="auto"/>
            </w:tcBorders>
            <w:vAlign w:val="center"/>
          </w:tcPr>
          <w:p w14:paraId="13827FAA" w14:textId="77777777" w:rsidR="00A95F3E" w:rsidRPr="00A27113" w:rsidRDefault="00A95F3E" w:rsidP="003101B2">
            <w:pPr>
              <w:jc w:val="center"/>
              <w:rPr>
                <w:lang w:val="nl-NL"/>
              </w:rPr>
            </w:pPr>
            <w:r w:rsidRPr="00A27113">
              <w:rPr>
                <w:lang w:val="nl-NL"/>
              </w:rPr>
              <w:t>HTB</w:t>
            </w:r>
          </w:p>
        </w:tc>
        <w:tc>
          <w:tcPr>
            <w:tcW w:w="1725" w:type="dxa"/>
            <w:vMerge/>
            <w:tcBorders>
              <w:left w:val="single" w:sz="6" w:space="0" w:color="auto"/>
              <w:right w:val="single" w:sz="6" w:space="0" w:color="auto"/>
            </w:tcBorders>
          </w:tcPr>
          <w:p w14:paraId="106848E5" w14:textId="77777777" w:rsidR="00A95F3E" w:rsidRPr="00A27113" w:rsidRDefault="00A95F3E" w:rsidP="009C3752">
            <w:pPr>
              <w:rPr>
                <w:lang w:val="nl-NL"/>
              </w:rPr>
            </w:pPr>
          </w:p>
        </w:tc>
      </w:tr>
      <w:tr w:rsidR="00A95F3E" w:rsidRPr="00A27113" w14:paraId="686E0EF7" w14:textId="77777777" w:rsidTr="003101B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0CC74EB4" w14:textId="77777777" w:rsidR="00A95F3E" w:rsidRPr="00A27113" w:rsidRDefault="00A95F3E" w:rsidP="003101B2">
            <w:pPr>
              <w:jc w:val="center"/>
              <w:rPr>
                <w:lang w:val="nl-NL"/>
              </w:rPr>
            </w:pPr>
            <w:r w:rsidRPr="00A27113">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5522F8E6" w14:textId="77777777" w:rsidR="00A95F3E" w:rsidRPr="00A27113" w:rsidRDefault="00A95F3E" w:rsidP="003101B2">
            <w:pPr>
              <w:jc w:val="center"/>
            </w:pPr>
            <w:r w:rsidRPr="00A27113">
              <w:t>HTB 3</w:t>
            </w:r>
          </w:p>
        </w:tc>
        <w:tc>
          <w:tcPr>
            <w:tcW w:w="735" w:type="dxa"/>
            <w:tcBorders>
              <w:top w:val="nil"/>
              <w:left w:val="single" w:sz="6" w:space="0" w:color="auto"/>
              <w:bottom w:val="single" w:sz="6" w:space="0" w:color="auto"/>
              <w:right w:val="single" w:sz="6" w:space="0" w:color="auto"/>
            </w:tcBorders>
            <w:vAlign w:val="center"/>
          </w:tcPr>
          <w:p w14:paraId="39B38185" w14:textId="77777777" w:rsidR="00A95F3E" w:rsidRPr="00A27113" w:rsidRDefault="00A95F3E" w:rsidP="003101B2">
            <w:pPr>
              <w:jc w:val="center"/>
            </w:pPr>
          </w:p>
        </w:tc>
        <w:tc>
          <w:tcPr>
            <w:tcW w:w="1725" w:type="dxa"/>
            <w:vMerge/>
            <w:tcBorders>
              <w:left w:val="single" w:sz="6" w:space="0" w:color="auto"/>
              <w:bottom w:val="single" w:sz="6" w:space="0" w:color="auto"/>
              <w:right w:val="single" w:sz="6" w:space="0" w:color="auto"/>
            </w:tcBorders>
          </w:tcPr>
          <w:p w14:paraId="367CAFB9" w14:textId="77777777" w:rsidR="00A95F3E" w:rsidRPr="00A27113" w:rsidRDefault="00A95F3E" w:rsidP="009C3752"/>
        </w:tc>
      </w:tr>
    </w:tbl>
    <w:p w14:paraId="614113DD" w14:textId="77777777" w:rsidR="00A95F3E" w:rsidRPr="00A27113" w:rsidRDefault="00A95F3E" w:rsidP="009C3752">
      <w:pPr>
        <w:rPr>
          <w:b/>
        </w:rPr>
      </w:pPr>
    </w:p>
    <w:p w14:paraId="18A3E1F9" w14:textId="77777777" w:rsidR="00A95F3E" w:rsidRPr="00A27113" w:rsidRDefault="00A95F3E" w:rsidP="009C3752">
      <w:pPr>
        <w:rPr>
          <w:b/>
        </w:rPr>
      </w:pPr>
    </w:p>
    <w:p w14:paraId="6220DB61" w14:textId="77777777" w:rsidR="00A95F3E" w:rsidRPr="00A27113" w:rsidRDefault="00A95F3E" w:rsidP="009C3752">
      <w:pPr>
        <w:rPr>
          <w:b/>
        </w:rPr>
      </w:pPr>
      <w:r w:rsidRPr="00A27113">
        <w:rPr>
          <w:b/>
        </w:rPr>
        <w:t>Données Brutes</w:t>
      </w:r>
    </w:p>
    <w:p w14:paraId="218D14D9" w14:textId="77777777" w:rsidR="00A95F3E" w:rsidRPr="00A27113" w:rsidRDefault="00A95F3E" w:rsidP="009C3752">
      <w:r w:rsidRPr="00A27113">
        <w:t>Données de comptage issues du Compteur et n’ayant fait l’objet d’aucun traitement en dehors de ceux réalisés par le Compteur. Selon le type de Compteur installé, ces données peuvent ne pas tenir compte des corrections éventuelles, comme par exemple celles liées à la position du comptage par rapport au transformateur de puissance.</w:t>
      </w:r>
    </w:p>
    <w:p w14:paraId="3C657EEE" w14:textId="77777777" w:rsidR="00A95F3E" w:rsidRPr="00F83832" w:rsidRDefault="00A95F3E" w:rsidP="009C3752">
      <w:pPr>
        <w:rPr>
          <w:b/>
          <w:color w:val="auto"/>
        </w:rPr>
      </w:pPr>
      <w:r w:rsidRPr="00F83832">
        <w:rPr>
          <w:b/>
          <w:color w:val="auto"/>
        </w:rPr>
        <w:t xml:space="preserve">GRD </w:t>
      </w:r>
      <w:r w:rsidRPr="004D2399">
        <w:rPr>
          <w:b/>
          <w:noProof/>
          <w:color w:val="auto"/>
        </w:rPr>
        <w:t>Régie d'Electricité d'Elbeuf</w:t>
      </w:r>
      <w:r w:rsidRPr="00F83832">
        <w:rPr>
          <w:b/>
          <w:color w:val="auto"/>
        </w:rPr>
        <w:t xml:space="preserve"> </w:t>
      </w:r>
    </w:p>
    <w:p w14:paraId="1CC34FD9" w14:textId="77777777" w:rsidR="00A95F3E" w:rsidRPr="00A27113" w:rsidRDefault="00A95F3E" w:rsidP="009C3752">
      <w:r w:rsidRPr="00A27113">
        <w:t xml:space="preserve">Désigne le Gestionnaire du Réseau Public de Distribution. </w:t>
      </w:r>
    </w:p>
    <w:p w14:paraId="0BDAF414" w14:textId="77777777" w:rsidR="00A95F3E" w:rsidRPr="00A27113" w:rsidRDefault="00A95F3E" w:rsidP="009C3752">
      <w:pPr>
        <w:rPr>
          <w:b/>
        </w:rPr>
      </w:pPr>
      <w:r w:rsidRPr="00A27113">
        <w:rPr>
          <w:b/>
        </w:rPr>
        <w:t>Fenêtre d'Appel (ou Fenêtre d'Ecoute)</w:t>
      </w:r>
    </w:p>
    <w:p w14:paraId="69D2583D" w14:textId="77777777" w:rsidR="00A95F3E" w:rsidRPr="00A27113" w:rsidRDefault="00A95F3E" w:rsidP="009C3752">
      <w:r w:rsidRPr="00A27113">
        <w:t>Plage horaire pendant laquelle certains Compteurs sont accessibles à une interrogation distante pour des opérations de relevé. On parle plutôt de "Fenêtre d'Ecoute" pour le Dispositif de comptage, et de "Fenêtre d'Appel" pour le système appelant.</w:t>
      </w:r>
    </w:p>
    <w:p w14:paraId="4590061C" w14:textId="77777777" w:rsidR="00A95F3E" w:rsidRPr="00A27113" w:rsidRDefault="00A95F3E" w:rsidP="009C3752">
      <w:pPr>
        <w:rPr>
          <w:b/>
        </w:rPr>
      </w:pPr>
      <w:r w:rsidRPr="00A27113">
        <w:rPr>
          <w:b/>
        </w:rPr>
        <w:t>Fluctuations Lentes de la Tension</w:t>
      </w:r>
    </w:p>
    <w:p w14:paraId="414733DE" w14:textId="77777777" w:rsidR="00A95F3E" w:rsidRPr="00A27113" w:rsidRDefault="00A95F3E" w:rsidP="009C3752">
      <w:r w:rsidRPr="00A27113">
        <w:t>Couvrent les phénomènes où la valeur efficace de la tension de mise à disposition (U</w:t>
      </w:r>
      <w:r w:rsidRPr="00A27113">
        <w:rPr>
          <w:vertAlign w:val="subscript"/>
        </w:rPr>
        <w:t>f</w:t>
      </w:r>
      <w:r w:rsidRPr="00A27113">
        <w:t>) évolue de quelques pourcents autour de la Tension Contractuelle (U</w:t>
      </w:r>
      <w:r w:rsidRPr="00A27113">
        <w:rPr>
          <w:vertAlign w:val="subscript"/>
        </w:rPr>
        <w:t>c</w:t>
      </w:r>
      <w:r w:rsidRPr="00A27113">
        <w:t xml:space="preserve">),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w:t>
      </w:r>
      <w:r>
        <w:t>du GRD</w:t>
      </w:r>
      <w:r w:rsidRPr="00A27113">
        <w:t xml:space="preserve"> contribuent à limiter ces fluctuations.</w:t>
      </w:r>
    </w:p>
    <w:p w14:paraId="639DA15D" w14:textId="77777777" w:rsidR="00A95F3E" w:rsidRPr="00A27113" w:rsidRDefault="00A95F3E" w:rsidP="009C3752">
      <w:pPr>
        <w:rPr>
          <w:b/>
        </w:rPr>
      </w:pPr>
      <w:r w:rsidRPr="00A27113">
        <w:rPr>
          <w:b/>
        </w:rPr>
        <w:t>Fournisseur</w:t>
      </w:r>
    </w:p>
    <w:p w14:paraId="31446532" w14:textId="77777777" w:rsidR="00A95F3E" w:rsidRPr="00A27113" w:rsidRDefault="00A95F3E" w:rsidP="009C3752">
      <w:r w:rsidRPr="00A27113">
        <w:t xml:space="preserve">Entité qui dispose d’une autorisation d’achat pour revente d’électricité conformément à l’article L331-1 du code de l’énergie, et est signataire d’un contrat GRD-F avec </w:t>
      </w:r>
      <w:r>
        <w:t>le GRD</w:t>
      </w:r>
      <w:r w:rsidRPr="00A27113">
        <w:t xml:space="preserve">, en vue de proposer aux Clients un Contrat Unique. </w:t>
      </w:r>
    </w:p>
    <w:p w14:paraId="27EB0509" w14:textId="77777777" w:rsidR="00A95F3E" w:rsidRPr="00A27113" w:rsidRDefault="00A95F3E" w:rsidP="009C3752">
      <w:pPr>
        <w:rPr>
          <w:b/>
        </w:rPr>
      </w:pPr>
      <w:r w:rsidRPr="00A27113">
        <w:rPr>
          <w:b/>
        </w:rPr>
        <w:t>Fourniture Déclarée</w:t>
      </w:r>
    </w:p>
    <w:p w14:paraId="7E2CE3E3" w14:textId="77777777" w:rsidR="00A95F3E" w:rsidRPr="00A27113" w:rsidRDefault="00A95F3E" w:rsidP="009C3752">
      <w:r w:rsidRPr="00A27113">
        <w:t>Quantité d’énergie déclarée par un Utilisateur, correspondant à un programme de puissances prédéterminées par pas horaire ou demi-horaire et rattachée comme injection ou soutirage au Périmètre d’un Responsable d’Equilibre.</w:t>
      </w:r>
    </w:p>
    <w:p w14:paraId="1B2F6F75" w14:textId="77777777" w:rsidR="00A95F3E" w:rsidRPr="00A27113" w:rsidRDefault="00A95F3E" w:rsidP="009C3752">
      <w:pPr>
        <w:rPr>
          <w:b/>
        </w:rPr>
      </w:pPr>
      <w:r w:rsidRPr="00A27113">
        <w:rPr>
          <w:b/>
        </w:rPr>
        <w:t>Fréquence</w:t>
      </w:r>
    </w:p>
    <w:p w14:paraId="05D395E0" w14:textId="77777777" w:rsidR="00A95F3E" w:rsidRPr="00A27113" w:rsidRDefault="00A95F3E" w:rsidP="009C3752">
      <w:r w:rsidRPr="00A27113">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212978F6" w14:textId="77777777" w:rsidR="00A95F3E" w:rsidRPr="00A27113" w:rsidRDefault="00A95F3E" w:rsidP="009C3752">
      <w:pPr>
        <w:rPr>
          <w:b/>
        </w:rPr>
      </w:pPr>
      <w:r w:rsidRPr="00A27113">
        <w:rPr>
          <w:b/>
        </w:rPr>
        <w:t>Gestionnaire du Réseau de Distribution (GRD)</w:t>
      </w:r>
    </w:p>
    <w:p w14:paraId="4F122CE3" w14:textId="77777777" w:rsidR="00A95F3E" w:rsidRPr="00A27113" w:rsidRDefault="00A95F3E" w:rsidP="009C3752">
      <w:r w:rsidRPr="00A27113">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0750F129" w14:textId="77777777" w:rsidR="00A95F3E" w:rsidRPr="00A27113" w:rsidRDefault="00A95F3E" w:rsidP="009C3752">
      <w:pPr>
        <w:rPr>
          <w:b/>
        </w:rPr>
      </w:pPr>
      <w:r w:rsidRPr="00A27113">
        <w:rPr>
          <w:b/>
        </w:rPr>
        <w:t>Index</w:t>
      </w:r>
    </w:p>
    <w:p w14:paraId="47406C90" w14:textId="77777777" w:rsidR="00A95F3E" w:rsidRPr="00A27113" w:rsidRDefault="00A95F3E" w:rsidP="009C3752">
      <w:r w:rsidRPr="00A27113">
        <w:t>Valeur enregistrée et relevée sur un Compteur à une date donnée ou valeur estimée à une date donnée.</w:t>
      </w:r>
    </w:p>
    <w:p w14:paraId="0D91B2C6" w14:textId="77777777" w:rsidR="00A95F3E" w:rsidRPr="00A27113" w:rsidRDefault="00A95F3E" w:rsidP="0055349F">
      <w:pPr>
        <w:rPr>
          <w:b/>
        </w:rPr>
      </w:pPr>
      <w:r w:rsidRPr="00A27113">
        <w:rPr>
          <w:b/>
        </w:rPr>
        <w:t>Installation de Production</w:t>
      </w:r>
    </w:p>
    <w:p w14:paraId="2983FCF8" w14:textId="77777777" w:rsidR="00A95F3E" w:rsidRDefault="00A95F3E" w:rsidP="00FD151F">
      <w:pPr>
        <w:spacing w:after="0"/>
      </w:pPr>
      <w:r w:rsidRPr="00A27113">
        <w:t>Désigne l’ensemble des équipements destinés exclusivement à la production d’électricité en autoconsommation sur le site du Client.</w:t>
      </w:r>
    </w:p>
    <w:p w14:paraId="478C81EC" w14:textId="77777777" w:rsidR="00A95F3E" w:rsidRPr="00A27113" w:rsidRDefault="00A95F3E" w:rsidP="00FD151F">
      <w:pPr>
        <w:spacing w:after="0"/>
      </w:pPr>
      <w:r w:rsidRPr="00313157">
        <w:t>Si le Client souhaite injecter sur le RPD du GRD, il doit se rapprocher du GRD afin de signer un contrat d’accès au RPD au titre de l’injection (dénommés, à date de publication du présent contrat, Contrat d’Accès et d’Exploitation pour une Installation de Production de puissance &lt; 36 kVA raccordée au Réseau Public de Distribution Basse Tension (CAE) ou Contrat d’accès au Réseau Public de Distribution pour une Installation de Production (CARD-I) de puissance &gt; 36 kVA raccordée en Basse Tension ou raccordée en HTA).</w:t>
      </w:r>
    </w:p>
    <w:p w14:paraId="74610DAD" w14:textId="77777777" w:rsidR="00A95F3E" w:rsidRPr="00A27113" w:rsidRDefault="00A95F3E" w:rsidP="009C3752">
      <w:pPr>
        <w:rPr>
          <w:b/>
        </w:rPr>
      </w:pPr>
      <w:r w:rsidRPr="00A27113">
        <w:rPr>
          <w:b/>
        </w:rPr>
        <w:t>Périmètre d’Equilibre ou Périmètre-RPD du Responsable d’Equilibre</w:t>
      </w:r>
    </w:p>
    <w:p w14:paraId="4A56A8F9" w14:textId="77777777" w:rsidR="00A95F3E" w:rsidRPr="00A27113" w:rsidRDefault="00A95F3E" w:rsidP="009C3752">
      <w:r w:rsidRPr="00A27113">
        <w:t>Ensemble de Sites d’injection et de soutirage rattachés à un Responsable d’Equilibre.</w:t>
      </w:r>
    </w:p>
    <w:p w14:paraId="799D2D7F" w14:textId="77777777" w:rsidR="00A95F3E" w:rsidRPr="00A27113" w:rsidRDefault="00A95F3E" w:rsidP="009C3752">
      <w:pPr>
        <w:rPr>
          <w:b/>
        </w:rPr>
      </w:pPr>
      <w:r w:rsidRPr="00A27113">
        <w:rPr>
          <w:b/>
        </w:rPr>
        <w:t xml:space="preserve">Périmètre de Facturation </w:t>
      </w:r>
    </w:p>
    <w:p w14:paraId="1DE7678F" w14:textId="77777777" w:rsidR="00A95F3E" w:rsidRPr="00A27113" w:rsidRDefault="00A95F3E" w:rsidP="00D97D19">
      <w:r w:rsidRPr="00A27113">
        <w:t xml:space="preserve">Au sens du Contrat GRD-Fournisseur, ensemble des Points de Livraison des Clients disposant d’un Contrat Unique avec un Fournisseur et raccordés au RPD géré par </w:t>
      </w:r>
      <w:r>
        <w:t>le GRD</w:t>
      </w:r>
      <w:r w:rsidRPr="00A27113">
        <w:t xml:space="preserve">, faisant foi pour la facturation de l'utilisation du Réseau au titre du présent contrat. Il est identifié par un code EIC unique attribué par RTE. </w:t>
      </w:r>
    </w:p>
    <w:p w14:paraId="517CADB1" w14:textId="77777777" w:rsidR="00A95F3E" w:rsidRPr="00A27113" w:rsidRDefault="00A95F3E" w:rsidP="006C63DF">
      <w:r>
        <w:rPr>
          <w:noProof/>
        </w:rPr>
        <w:t>Une personne morale fournisseur, qui dispose d’une autorisation d’achat d’électricité pour revente conformément à l’article L333-1 du code de l’énergie, ne peut disposer de plus de deux Périmètres de facturation, c'est-à-dire de plus de deux contrats GRD-F avec le GRD, chaque Périmètre devant alors être rattaché à des Responsables d’Equilibre distincts</w:t>
      </w:r>
      <w:r w:rsidRPr="00A27113">
        <w:t>.</w:t>
      </w:r>
    </w:p>
    <w:p w14:paraId="372049DA" w14:textId="77777777" w:rsidR="00A95F3E" w:rsidRPr="00A27113" w:rsidRDefault="00A95F3E" w:rsidP="009C3752">
      <w:pPr>
        <w:rPr>
          <w:b/>
        </w:rPr>
      </w:pPr>
      <w:r w:rsidRPr="00A27113">
        <w:rPr>
          <w:b/>
        </w:rPr>
        <w:t>Période de Référence</w:t>
      </w:r>
    </w:p>
    <w:p w14:paraId="6CBDEEE8" w14:textId="77777777" w:rsidR="00A95F3E" w:rsidRPr="00A27113" w:rsidRDefault="00A95F3E" w:rsidP="009C3752">
      <w:r w:rsidRPr="00A27113">
        <w:t>Durée de validité d'une Puissance Souscrite au titre de la tarification d'utilisation des Réseaux.</w:t>
      </w:r>
    </w:p>
    <w:p w14:paraId="4D833BC2" w14:textId="77777777" w:rsidR="00A95F3E" w:rsidRPr="00A27113" w:rsidRDefault="00A95F3E" w:rsidP="009C3752">
      <w:pPr>
        <w:rPr>
          <w:b/>
        </w:rPr>
      </w:pPr>
      <w:r w:rsidRPr="00A27113">
        <w:rPr>
          <w:b/>
        </w:rPr>
        <w:t>Plate-forme d’échanges :</w:t>
      </w:r>
    </w:p>
    <w:p w14:paraId="3E985685" w14:textId="77777777" w:rsidR="00A95F3E" w:rsidRPr="00A27113" w:rsidRDefault="00A95F3E" w:rsidP="009C3752">
      <w:r w:rsidRPr="00A27113">
        <w:t xml:space="preserve">Désigne l’environnement informatique (Front-office) </w:t>
      </w:r>
      <w:r>
        <w:t>que le GRD</w:t>
      </w:r>
      <w:r w:rsidRPr="00A27113">
        <w:t xml:space="preserve"> rend accessible au Fournisseur et qui héberge les services dédiés </w:t>
      </w:r>
      <w:r>
        <w:t>du GRD</w:t>
      </w:r>
      <w:r w:rsidRPr="00A27113">
        <w:t xml:space="preserve"> pour l’exécution du présent contrat.</w:t>
      </w:r>
    </w:p>
    <w:p w14:paraId="753C0C5F" w14:textId="77777777" w:rsidR="00A95F3E" w:rsidRPr="00A27113" w:rsidRDefault="00A95F3E" w:rsidP="009C3752">
      <w:pPr>
        <w:rPr>
          <w:b/>
        </w:rPr>
      </w:pPr>
      <w:r w:rsidRPr="00A27113">
        <w:rPr>
          <w:b/>
        </w:rPr>
        <w:t>Point de Comptage (PDC)</w:t>
      </w:r>
    </w:p>
    <w:p w14:paraId="1BB39379" w14:textId="77777777" w:rsidR="00A95F3E" w:rsidRPr="00A27113" w:rsidRDefault="00A95F3E" w:rsidP="009C3752">
      <w:r w:rsidRPr="00A27113">
        <w:t>Point physique où sont placés les Compteurs ou, le cas échéant, les transformateurs de mesures destinés au comptage de l’énergie.</w:t>
      </w:r>
    </w:p>
    <w:p w14:paraId="532D3F47" w14:textId="77777777" w:rsidR="00A95F3E" w:rsidRPr="00A27113" w:rsidRDefault="00A95F3E" w:rsidP="009C3752">
      <w:pPr>
        <w:rPr>
          <w:b/>
        </w:rPr>
      </w:pPr>
      <w:r w:rsidRPr="00A27113">
        <w:rPr>
          <w:b/>
        </w:rPr>
        <w:t xml:space="preserve">Point de Connexion </w:t>
      </w:r>
    </w:p>
    <w:p w14:paraId="09E17B16" w14:textId="77777777" w:rsidR="00A95F3E" w:rsidRPr="00A27113" w:rsidRDefault="00A95F3E" w:rsidP="009C3752">
      <w:r w:rsidRPr="00A27113">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2A3BAADF" w14:textId="77777777" w:rsidR="00A95F3E" w:rsidRPr="00A27113" w:rsidRDefault="00A95F3E" w:rsidP="009C3752">
      <w:pPr>
        <w:rPr>
          <w:b/>
        </w:rPr>
      </w:pPr>
      <w:r w:rsidRPr="00A27113">
        <w:rPr>
          <w:b/>
        </w:rPr>
        <w:t xml:space="preserve">Point de Livraison (PDL) </w:t>
      </w:r>
    </w:p>
    <w:p w14:paraId="4E170979" w14:textId="77777777" w:rsidR="00A95F3E" w:rsidRPr="00A27113" w:rsidRDefault="00A95F3E" w:rsidP="009C3752">
      <w:r w:rsidRPr="00A27113">
        <w:t>Point physique convenu entre un Utilisateur et un GRD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64D34657" w14:textId="77777777" w:rsidR="00A95F3E" w:rsidRPr="00A27113" w:rsidRDefault="00A95F3E" w:rsidP="009C3752">
      <w:pPr>
        <w:rPr>
          <w:b/>
        </w:rPr>
      </w:pPr>
      <w:r w:rsidRPr="00A27113">
        <w:rPr>
          <w:b/>
        </w:rPr>
        <w:t>Point Référence Mesure (PRM)</w:t>
      </w:r>
    </w:p>
    <w:p w14:paraId="183E5A37" w14:textId="77777777" w:rsidR="00A95F3E" w:rsidRPr="00A27113" w:rsidRDefault="00A95F3E" w:rsidP="00FD151F">
      <w:r>
        <w:rPr>
          <w:noProof/>
        </w:rPr>
        <w:t>Identifiant unique à 6 chiffres suivi du code "EC1" utilisé pour repérer le Point de Connexion d’une façon commune au Fournisseur et au GRD. Pour les Clients BT ≤ 36 kVA, le numéro de PDL correspond au numéro de PRM.</w:t>
      </w:r>
      <w:r w:rsidRPr="00A27113">
        <w:t>.</w:t>
      </w:r>
    </w:p>
    <w:p w14:paraId="2B17A4F5" w14:textId="77777777" w:rsidR="00A95F3E" w:rsidRPr="00A27113" w:rsidRDefault="00A95F3E" w:rsidP="009C3752">
      <w:pPr>
        <w:rPr>
          <w:b/>
        </w:rPr>
      </w:pPr>
      <w:r w:rsidRPr="00A27113">
        <w:rPr>
          <w:b/>
        </w:rPr>
        <w:t>Puissance Limite</w:t>
      </w:r>
    </w:p>
    <w:p w14:paraId="45200E97" w14:textId="77777777" w:rsidR="00A95F3E" w:rsidRPr="00A27113" w:rsidRDefault="00A95F3E" w:rsidP="009C3752">
      <w:r w:rsidRPr="00A27113">
        <w:t>La Puissance Limite est déterminée par le Domaine de Tension de raccordement, conformément à l’arrêté du 17 mars 2003 relatif aux prescriptions techniques de conception et de fonctionnement pour le raccordement au réseau public de distribution d'une installation de consommation d'énergie électrique.</w:t>
      </w:r>
    </w:p>
    <w:p w14:paraId="79DC8A8C" w14:textId="77777777" w:rsidR="00A95F3E" w:rsidRPr="00A27113" w:rsidRDefault="00A95F3E" w:rsidP="009C3752">
      <w:r w:rsidRPr="00A27113">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1CBC18F1" w14:textId="77777777" w:rsidR="00A95F3E" w:rsidRPr="00A27113" w:rsidRDefault="00A95F3E" w:rsidP="009C3752">
      <w:r w:rsidRPr="00A27113">
        <w:t>Pour le Domaine BT&gt;36 kVA, cette puissance est égale à 250 kVA.</w:t>
      </w:r>
    </w:p>
    <w:p w14:paraId="7715A798" w14:textId="77777777" w:rsidR="00A95F3E" w:rsidRPr="00A27113" w:rsidRDefault="00A95F3E" w:rsidP="009C3752">
      <w:pPr>
        <w:rPr>
          <w:b/>
        </w:rPr>
      </w:pPr>
      <w:r w:rsidRPr="00A27113">
        <w:rPr>
          <w:b/>
        </w:rPr>
        <w:t>Puissance de Raccordement</w:t>
      </w:r>
    </w:p>
    <w:p w14:paraId="14CB6E74" w14:textId="77777777" w:rsidR="00A95F3E" w:rsidRPr="00A27113" w:rsidRDefault="00A95F3E" w:rsidP="009C3752">
      <w:r w:rsidRPr="00A27113">
        <w:t>Puissance maximale en régime normal d’exploitation que le demandeur du raccordement a prévu d’être appelée au Point de Livraison. Sa valeur est précisée dans l’éventuelle Convention de Raccordement.</w:t>
      </w:r>
    </w:p>
    <w:p w14:paraId="5B5911E9" w14:textId="77777777" w:rsidR="00A95F3E" w:rsidRDefault="00A95F3E" w:rsidP="009C3752">
      <w:r w:rsidRPr="00A27113">
        <w:t xml:space="preserve">En BT, elle sert au dimensionnement du Branchement. </w:t>
      </w:r>
    </w:p>
    <w:p w14:paraId="0310F336" w14:textId="77777777" w:rsidR="00A95F3E" w:rsidRPr="00A27113" w:rsidRDefault="00A95F3E" w:rsidP="009C3752"/>
    <w:p w14:paraId="3C4F10BF" w14:textId="77777777" w:rsidR="00A95F3E" w:rsidRPr="00A27113" w:rsidRDefault="00A95F3E" w:rsidP="009C3752">
      <w:pPr>
        <w:rPr>
          <w:b/>
        </w:rPr>
      </w:pPr>
      <w:r w:rsidRPr="00A27113">
        <w:rPr>
          <w:b/>
        </w:rPr>
        <w:t xml:space="preserve">Puissance Souscrite </w:t>
      </w:r>
    </w:p>
    <w:p w14:paraId="404236B9" w14:textId="77777777" w:rsidR="00A95F3E" w:rsidRPr="00A27113" w:rsidRDefault="00A95F3E" w:rsidP="009C3752">
      <w:r w:rsidRPr="00A27113">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473A1EB0" w14:textId="77777777" w:rsidR="00A95F3E" w:rsidRPr="00A27113" w:rsidRDefault="00A95F3E" w:rsidP="009C3752">
      <w:pPr>
        <w:rPr>
          <w:b/>
        </w:rPr>
      </w:pPr>
      <w:r w:rsidRPr="00A27113">
        <w:rPr>
          <w:b/>
        </w:rPr>
        <w:t>Reconstitution des flux</w:t>
      </w:r>
    </w:p>
    <w:p w14:paraId="1BB82AB8" w14:textId="77777777" w:rsidR="00A95F3E" w:rsidRPr="00A27113" w:rsidRDefault="00A95F3E" w:rsidP="009C3752">
      <w:r w:rsidRPr="00A27113">
        <w:t>Pour le règlement des Ecarts, chaque GRD doit déterminer les flux d'injection et de soutirage de chaque Responsable d'Equilibre sur la maille de son réseau ainsi que la Courbe de Charge de ses pertes. Ces données doivent être fournies à RTE par l'ensemble des GRD, sous forme de courbes de mesure au pas 30 minutes. L'ensemble de ces opérations est appelé Reconstitution des flux.</w:t>
      </w:r>
    </w:p>
    <w:p w14:paraId="034B9416" w14:textId="77777777" w:rsidR="00A95F3E" w:rsidRDefault="00A95F3E" w:rsidP="00A40EED">
      <w:r w:rsidRPr="00591974">
        <w:rPr>
          <w:b/>
        </w:rPr>
        <w:t>Référentiels</w:t>
      </w:r>
      <w:r>
        <w:rPr>
          <w:b/>
        </w:rPr>
        <w:t xml:space="preserve"> (du GRD) </w:t>
      </w:r>
    </w:p>
    <w:p w14:paraId="057CCF29" w14:textId="77777777" w:rsidR="00A95F3E" w:rsidRDefault="00A95F3E" w:rsidP="00A40EED">
      <w:r>
        <w:t xml:space="preserve">Il s’agit du Référentiel Clientèle et de la Documentation Technique de Référence disponibles aux adresses internet suivantes : </w:t>
      </w:r>
    </w:p>
    <w:p w14:paraId="20241018" w14:textId="77777777" w:rsidR="00A95F3E" w:rsidRDefault="00A95F3E" w:rsidP="00A40EED">
      <w:pPr>
        <w:pStyle w:val="SPuce"/>
      </w:pPr>
      <w:r>
        <w:t xml:space="preserve">Le Référentiel Clientèle : </w:t>
      </w:r>
      <w:r>
        <w:rPr>
          <w:noProof/>
        </w:rPr>
        <w:t>ree-elbeuf.com</w:t>
      </w:r>
    </w:p>
    <w:p w14:paraId="228A3C08" w14:textId="77777777" w:rsidR="00A95F3E" w:rsidRDefault="00A95F3E" w:rsidP="00A40EED">
      <w:pPr>
        <w:pStyle w:val="SPuce"/>
      </w:pPr>
      <w:r>
        <w:t xml:space="preserve">La Documentation Technique de Référence : </w:t>
      </w:r>
      <w:r>
        <w:rPr>
          <w:noProof/>
        </w:rPr>
        <w:t>ree-elbeuf.com</w:t>
      </w:r>
    </w:p>
    <w:p w14:paraId="2C2DC8E6" w14:textId="77777777" w:rsidR="00A95F3E" w:rsidRPr="00A27113" w:rsidRDefault="00A95F3E" w:rsidP="009C3752">
      <w:pPr>
        <w:rPr>
          <w:b/>
        </w:rPr>
      </w:pPr>
      <w:r>
        <w:t>L’état de publication des règles du Référentiel est accessible à l’adresse internet suivante :</w:t>
      </w:r>
      <w:r>
        <w:rPr>
          <w:noProof/>
        </w:rPr>
        <w:t>ree-elbeuf.com</w:t>
      </w:r>
      <w:r>
        <w:t>.</w:t>
      </w:r>
    </w:p>
    <w:p w14:paraId="7380F468" w14:textId="77777777" w:rsidR="00A95F3E" w:rsidRPr="00A27113" w:rsidRDefault="00A95F3E" w:rsidP="009C3752">
      <w:pPr>
        <w:rPr>
          <w:b/>
        </w:rPr>
      </w:pPr>
      <w:r w:rsidRPr="00A27113">
        <w:rPr>
          <w:b/>
        </w:rPr>
        <w:t>Règles Relatives à la Programmation, au Mécanisme d’Ajustement et au dispositif de Responsable d’Equilibre</w:t>
      </w:r>
    </w:p>
    <w:p w14:paraId="352D41F7" w14:textId="77777777" w:rsidR="00A95F3E" w:rsidRPr="00A27113" w:rsidRDefault="00A95F3E" w:rsidP="009C3752">
      <w:r w:rsidRPr="00A27113">
        <w:t>Ces Règles sont publiées par RTE sur son site Internet. Elles sont l’objet d’accords de participation signés par les acteurs du mécanisme qui y participent. Ces Règles comportent 3 sections :</w:t>
      </w:r>
    </w:p>
    <w:p w14:paraId="24486C7C" w14:textId="77777777" w:rsidR="00A95F3E" w:rsidRPr="00A27113" w:rsidRDefault="00A95F3E" w:rsidP="00D801A4">
      <w:pPr>
        <w:pStyle w:val="SPuce"/>
      </w:pPr>
      <w:r w:rsidRPr="00A27113">
        <w:t>Section 1 relative à la Programmation, au Mécanisme d’Ajustement et au recouvrement des charges d’ajustement ;</w:t>
      </w:r>
    </w:p>
    <w:p w14:paraId="09769D07" w14:textId="77777777" w:rsidR="00A95F3E" w:rsidRPr="00A27113" w:rsidRDefault="00A95F3E" w:rsidP="00D801A4">
      <w:pPr>
        <w:pStyle w:val="SPuce"/>
      </w:pPr>
      <w:r w:rsidRPr="00A27113">
        <w:t xml:space="preserve">Section 2 relative au dispositif de Responsable d’Equilibre ; </w:t>
      </w:r>
    </w:p>
    <w:p w14:paraId="2672D010" w14:textId="77777777" w:rsidR="00A95F3E" w:rsidRPr="00A27113" w:rsidRDefault="00A95F3E" w:rsidP="00D801A4">
      <w:pPr>
        <w:pStyle w:val="SPuce"/>
      </w:pPr>
      <w:r w:rsidRPr="00A27113">
        <w:t>Section 3 relative au Service d’Echange de Blocs.</w:t>
      </w:r>
    </w:p>
    <w:p w14:paraId="1DA4CA56" w14:textId="77777777" w:rsidR="00A95F3E" w:rsidRPr="00A27113" w:rsidRDefault="00A95F3E" w:rsidP="009C3752">
      <w:pPr>
        <w:rPr>
          <w:b/>
        </w:rPr>
      </w:pPr>
      <w:r w:rsidRPr="00A27113">
        <w:rPr>
          <w:b/>
        </w:rPr>
        <w:t>Relevé</w:t>
      </w:r>
    </w:p>
    <w:p w14:paraId="55F2F485" w14:textId="77777777" w:rsidR="00A95F3E" w:rsidRPr="00A27113" w:rsidRDefault="00A95F3E" w:rsidP="009C3752">
      <w:r w:rsidRPr="00A27113">
        <w:t xml:space="preserve">Désigne les opérations par lesquelles </w:t>
      </w:r>
      <w:r>
        <w:t>le GRD</w:t>
      </w:r>
      <w:r w:rsidRPr="00A27113">
        <w:t xml:space="preserve"> ou son sous-traitant effectue les lectures des Compteurs.</w:t>
      </w:r>
    </w:p>
    <w:p w14:paraId="649B83C2" w14:textId="77777777" w:rsidR="00A95F3E" w:rsidRPr="00A27113" w:rsidRDefault="00A95F3E" w:rsidP="009C3752">
      <w:pPr>
        <w:rPr>
          <w:b/>
        </w:rPr>
      </w:pPr>
      <w:r w:rsidRPr="00A27113">
        <w:rPr>
          <w:b/>
        </w:rPr>
        <w:t>Réseau</w:t>
      </w:r>
    </w:p>
    <w:p w14:paraId="3D1A8377" w14:textId="77777777" w:rsidR="00A95F3E" w:rsidRPr="00A27113" w:rsidRDefault="00A95F3E" w:rsidP="009C3752">
      <w:r w:rsidRPr="00A27113">
        <w:t>Désigne soit le RPT soit le RPD, constitué de canalisations de distribution publique y compris celles à l’intérieur des lotissements ou groupes d’habitations, à l'exclusion des réseaux privés.</w:t>
      </w:r>
    </w:p>
    <w:p w14:paraId="3D324BD7" w14:textId="77777777" w:rsidR="00A95F3E" w:rsidRPr="00A27113" w:rsidRDefault="00A95F3E" w:rsidP="009C3752">
      <w:pPr>
        <w:rPr>
          <w:b/>
        </w:rPr>
      </w:pPr>
      <w:r w:rsidRPr="00A27113">
        <w:rPr>
          <w:b/>
        </w:rPr>
        <w:t>Résidentiel</w:t>
      </w:r>
    </w:p>
    <w:p w14:paraId="4D944841" w14:textId="77777777" w:rsidR="00A95F3E" w:rsidRPr="00A27113" w:rsidRDefault="00A95F3E" w:rsidP="009C3752">
      <w:r w:rsidRPr="00A27113">
        <w:t>Client utilisant l’électricité pour des besoins personnels d’habitation</w:t>
      </w:r>
    </w:p>
    <w:p w14:paraId="4CA4B496" w14:textId="77777777" w:rsidR="00A95F3E" w:rsidRPr="00A27113" w:rsidRDefault="00A95F3E" w:rsidP="009C3752">
      <w:pPr>
        <w:rPr>
          <w:b/>
        </w:rPr>
      </w:pPr>
      <w:r w:rsidRPr="00A27113">
        <w:rPr>
          <w:b/>
        </w:rPr>
        <w:t>Responsable d'Equilibre (RE)</w:t>
      </w:r>
    </w:p>
    <w:p w14:paraId="65B0C990" w14:textId="77777777" w:rsidR="00A95F3E" w:rsidRPr="00A27113" w:rsidRDefault="00A95F3E" w:rsidP="009C3752">
      <w:r w:rsidRPr="00A27113">
        <w:t>Personne morale ayant signé avec RTE un Accord de Participation pour la qualité de responsable d'équilibre, en application duquel les signataires s'obligent l'un envers l'autre à compenser financièrement les Ecarts constatés a posteriori dans le Périmètre d'Equilibre.</w:t>
      </w:r>
    </w:p>
    <w:p w14:paraId="4A3188CE" w14:textId="77777777" w:rsidR="00A95F3E" w:rsidRPr="00A27113" w:rsidRDefault="00A95F3E" w:rsidP="009C3752">
      <w:pPr>
        <w:rPr>
          <w:b/>
        </w:rPr>
      </w:pPr>
      <w:r w:rsidRPr="00A27113">
        <w:rPr>
          <w:b/>
        </w:rPr>
        <w:t>RPD</w:t>
      </w:r>
    </w:p>
    <w:p w14:paraId="695A2B76" w14:textId="77777777" w:rsidR="00A95F3E" w:rsidRPr="00A27113" w:rsidRDefault="00A95F3E" w:rsidP="009C3752">
      <w:r w:rsidRPr="00A27113">
        <w:t xml:space="preserve">Réseau Public de Distribution d’électricité. Celui-ci est constitué des ouvrages compris dans les concessions de distribution publique d’électricité, en application des articles </w:t>
      </w:r>
      <w:r>
        <w:rPr>
          <w:noProof/>
        </w:rPr>
        <w:t>L. 2224-31 et suivants du code général des collectivités territoriales et à l'article L111-52 du code de l'énergie</w:t>
      </w:r>
      <w:r w:rsidRPr="00A27113">
        <w:t>, et fixant les modalités de classement des ouvrages dans les réseaux publics de transport et de distribution d’électricité.</w:t>
      </w:r>
    </w:p>
    <w:p w14:paraId="43424BE6" w14:textId="77777777" w:rsidR="00A95F3E" w:rsidRPr="00A27113" w:rsidRDefault="00A95F3E" w:rsidP="009C3752">
      <w:pPr>
        <w:rPr>
          <w:b/>
        </w:rPr>
      </w:pPr>
      <w:r w:rsidRPr="00A27113">
        <w:rPr>
          <w:b/>
        </w:rPr>
        <w:t>RPT</w:t>
      </w:r>
    </w:p>
    <w:p w14:paraId="61667DF6" w14:textId="77777777" w:rsidR="00A95F3E" w:rsidRPr="00A27113" w:rsidRDefault="00A95F3E" w:rsidP="009C3752">
      <w:r w:rsidRPr="00A27113">
        <w:t>Réseau Public de Transport d’électricité défini par les articles R321-1 à 6 du code de l’énergie.</w:t>
      </w:r>
    </w:p>
    <w:p w14:paraId="33FB242E" w14:textId="77777777" w:rsidR="00A95F3E" w:rsidRPr="00A27113" w:rsidRDefault="00A95F3E" w:rsidP="009C3752">
      <w:pPr>
        <w:rPr>
          <w:b/>
        </w:rPr>
      </w:pPr>
      <w:r w:rsidRPr="00A27113">
        <w:rPr>
          <w:b/>
        </w:rPr>
        <w:t>RTE</w:t>
      </w:r>
    </w:p>
    <w:p w14:paraId="44A7BC12" w14:textId="77777777" w:rsidR="00A95F3E" w:rsidRPr="00A27113" w:rsidRDefault="00A95F3E" w:rsidP="009C3752">
      <w:r w:rsidRPr="00A27113">
        <w:t xml:space="preserve">Réseau de Transport Electricité, gestionnaire du Réseau Public de Transport d’électricité. </w:t>
      </w:r>
    </w:p>
    <w:p w14:paraId="71E6E3B1" w14:textId="77777777" w:rsidR="00A95F3E" w:rsidRPr="00A27113" w:rsidRDefault="00A95F3E" w:rsidP="009C3752">
      <w:pPr>
        <w:rPr>
          <w:b/>
        </w:rPr>
      </w:pPr>
      <w:r w:rsidRPr="00A27113">
        <w:rPr>
          <w:b/>
        </w:rPr>
        <w:t>Service de comptage</w:t>
      </w:r>
    </w:p>
    <w:p w14:paraId="41B9DF62" w14:textId="77777777" w:rsidR="00A95F3E" w:rsidRPr="00A27113" w:rsidRDefault="00A95F3E" w:rsidP="009C3752">
      <w:r w:rsidRPr="00A27113">
        <w:t xml:space="preserve">Service choisi par le Fournisseur pour le Dispositif de comptage d'un Point de Connexion donné. </w:t>
      </w:r>
    </w:p>
    <w:p w14:paraId="12BB839A" w14:textId="77777777" w:rsidR="00A95F3E" w:rsidRPr="00A27113" w:rsidRDefault="00A95F3E" w:rsidP="009C3752">
      <w:r w:rsidRPr="00A27113">
        <w:t>Il se caractérise par :</w:t>
      </w:r>
    </w:p>
    <w:p w14:paraId="3EB46BFC" w14:textId="77777777" w:rsidR="00A95F3E" w:rsidRPr="00A27113" w:rsidRDefault="00A95F3E" w:rsidP="00D801A4">
      <w:pPr>
        <w:pStyle w:val="SPuce"/>
      </w:pPr>
      <w:r w:rsidRPr="00A27113">
        <w:t>le domaine de tension,</w:t>
      </w:r>
    </w:p>
    <w:p w14:paraId="2A9F6F80" w14:textId="77777777" w:rsidR="00A95F3E" w:rsidRPr="00A27113" w:rsidRDefault="00A95F3E" w:rsidP="00D801A4">
      <w:pPr>
        <w:pStyle w:val="SPuce"/>
      </w:pPr>
      <w:r w:rsidRPr="00A27113">
        <w:t>la Puissance Souscrite,</w:t>
      </w:r>
    </w:p>
    <w:p w14:paraId="418549E2" w14:textId="77777777" w:rsidR="00A95F3E" w:rsidRPr="00A27113" w:rsidRDefault="00A95F3E" w:rsidP="00D801A4">
      <w:pPr>
        <w:pStyle w:val="SPuce"/>
      </w:pPr>
      <w:r w:rsidRPr="00A27113">
        <w:t>le mode de contrôle de la Puissance Souscrite,</w:t>
      </w:r>
    </w:p>
    <w:p w14:paraId="31702869" w14:textId="77777777" w:rsidR="00A95F3E" w:rsidRPr="00A27113" w:rsidRDefault="00A95F3E" w:rsidP="00D801A4">
      <w:pPr>
        <w:pStyle w:val="SPuce"/>
      </w:pPr>
      <w:r w:rsidRPr="00A27113">
        <w:t>les grandeurs mesurées (Courbe de charge ou index).</w:t>
      </w:r>
    </w:p>
    <w:p w14:paraId="36CB1EA9" w14:textId="77777777" w:rsidR="00A95F3E" w:rsidRPr="00A27113" w:rsidRDefault="00A95F3E" w:rsidP="009C3752">
      <w:r w:rsidRPr="00A27113">
        <w:t>Le Service de comptage choisi fixe le niveau de la composante annuelle de comptage qui, conformément au TURPE, est appliqué au Point de Connexion concerné.</w:t>
      </w:r>
    </w:p>
    <w:p w14:paraId="2963FD0E" w14:textId="77777777" w:rsidR="00A95F3E" w:rsidRPr="00A27113" w:rsidRDefault="00A95F3E" w:rsidP="009C3752">
      <w:pPr>
        <w:rPr>
          <w:b/>
        </w:rPr>
      </w:pPr>
      <w:r w:rsidRPr="00A27113">
        <w:rPr>
          <w:b/>
        </w:rPr>
        <w:t>Site</w:t>
      </w:r>
    </w:p>
    <w:p w14:paraId="7BEFDCBF" w14:textId="77777777" w:rsidR="00A95F3E" w:rsidRPr="00A27113" w:rsidRDefault="00A95F3E" w:rsidP="009C3752">
      <w:r w:rsidRPr="00A27113">
        <w:t>Etablissement identifié par son numéro d’identité au répertoire national des entreprises et établissements (numéro SIRET), tel que défini par les articles R123-220 et suivants du code de commerc</w:t>
      </w:r>
      <w:r>
        <w:t>e</w:t>
      </w:r>
      <w:r w:rsidRPr="00A27113">
        <w:t xml:space="preserve">, ou à défaut, pour les sites qui ne sont ni industriels ni commerciaux, par le lieu de consommation de l'électricité. </w:t>
      </w:r>
    </w:p>
    <w:p w14:paraId="3BF48359" w14:textId="77777777" w:rsidR="00A95F3E" w:rsidRPr="00591974" w:rsidRDefault="00A95F3E" w:rsidP="00A40EED">
      <w:pPr>
        <w:rPr>
          <w:b/>
          <w:color w:val="FF0000"/>
        </w:rPr>
      </w:pPr>
      <w:r w:rsidRPr="00591974">
        <w:rPr>
          <w:b/>
        </w:rPr>
        <w:t xml:space="preserve">Site internet (du GRD) </w:t>
      </w:r>
    </w:p>
    <w:p w14:paraId="2E5FBFD4" w14:textId="77777777" w:rsidR="00A95F3E" w:rsidRPr="00246A2D" w:rsidRDefault="00A95F3E" w:rsidP="00A40EED">
      <w:r>
        <w:t xml:space="preserve">Il s’agit du site internet suivant : </w:t>
      </w:r>
      <w:r>
        <w:rPr>
          <w:noProof/>
        </w:rPr>
        <w:t>ree-elbeuf.com</w:t>
      </w:r>
      <w:r>
        <w:t>.</w:t>
      </w:r>
    </w:p>
    <w:p w14:paraId="2A4F0155" w14:textId="77777777" w:rsidR="00A95F3E" w:rsidRPr="00A27113" w:rsidRDefault="00A95F3E" w:rsidP="009C3752">
      <w:r w:rsidRPr="00A27113">
        <w:rPr>
          <w:b/>
        </w:rPr>
        <w:t>Surtensions Transitoires</w:t>
      </w:r>
    </w:p>
    <w:p w14:paraId="33F2E123" w14:textId="77777777" w:rsidR="00A95F3E" w:rsidRPr="00A27113" w:rsidRDefault="00A95F3E" w:rsidP="009C3752">
      <w:r w:rsidRPr="00A27113">
        <w:t>Surtension oscillatoire ou non oscillatoire de courte durée généralement fortement amortie et qui ne dure au maximum que quelques millisecondes, conformément à la norme NF EN 50-160.</w:t>
      </w:r>
    </w:p>
    <w:p w14:paraId="07B3CB98" w14:textId="77777777" w:rsidR="00A95F3E" w:rsidRPr="00A27113" w:rsidRDefault="00A95F3E" w:rsidP="009C3752">
      <w:r w:rsidRPr="00A27113">
        <w:t xml:space="preserve">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w:t>
      </w:r>
      <w:r>
        <w:t>du GRD</w:t>
      </w:r>
      <w:r w:rsidRPr="00A27113">
        <w:t xml:space="preserve">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w:t>
      </w:r>
      <w:r>
        <w:t>le GRD</w:t>
      </w:r>
      <w:r w:rsidRPr="00A27113">
        <w:t xml:space="preserve"> n’est pas en mesure de garantir des niveaux qui ne seraient pas dépassés chez les clients. En conséquence, ceux-ci devront prendre toutes les mesures nécessaires pour se protéger. Nota : les parafoudres actuellement utilisés sur le réseau HTA </w:t>
      </w:r>
      <w:r>
        <w:t>du GRD</w:t>
      </w:r>
      <w:r w:rsidRPr="00A27113">
        <w:t xml:space="preserve"> permettent de limiter la valeur crête de la tension à leurs bornes à 80 kV, pour un courant de décharge de 5 kA. Pour un courant de décharge supérieur, des valeurs supérieures de Surtension peuvent être rencontrées.</w:t>
      </w:r>
    </w:p>
    <w:p w14:paraId="17962B76" w14:textId="77777777" w:rsidR="00A95F3E" w:rsidRPr="00A27113" w:rsidRDefault="00A95F3E" w:rsidP="009C3752">
      <w:pPr>
        <w:rPr>
          <w:b/>
        </w:rPr>
      </w:pPr>
      <w:r w:rsidRPr="00A27113">
        <w:rPr>
          <w:b/>
        </w:rPr>
        <w:t>Tarif d'Utilisation d’un réseau public de distribution (TURPE)</w:t>
      </w:r>
    </w:p>
    <w:p w14:paraId="770E0BE8" w14:textId="77777777" w:rsidR="00A95F3E" w:rsidRPr="00A27113" w:rsidRDefault="00A95F3E" w:rsidP="009C3752">
      <w:pPr>
        <w:rPr>
          <w:bCs/>
        </w:rPr>
      </w:pPr>
      <w:r w:rsidRPr="00A27113">
        <w:rPr>
          <w:bCs/>
        </w:rPr>
        <w:t xml:space="preserve">Tarifs </w:t>
      </w:r>
      <w:r w:rsidRPr="00A27113">
        <w:t>d’utilisation d’un réseau public de distribution d’électricité dans le domaine de tension HTA ou BT</w:t>
      </w:r>
      <w:r w:rsidRPr="00A27113">
        <w:rPr>
          <w:bCs/>
        </w:rPr>
        <w:t xml:space="preserve">, définis aux articles L341-2 et suivants du code de l’énergie. </w:t>
      </w:r>
    </w:p>
    <w:p w14:paraId="70EBAC67" w14:textId="77777777" w:rsidR="00A95F3E" w:rsidRPr="00A27113" w:rsidRDefault="00A95F3E" w:rsidP="009C3752">
      <w:pPr>
        <w:rPr>
          <w:b/>
        </w:rPr>
      </w:pPr>
      <w:r w:rsidRPr="00A27113">
        <w:rPr>
          <w:b/>
        </w:rPr>
        <w:t>Télérelevé</w:t>
      </w:r>
    </w:p>
    <w:p w14:paraId="1C41E5A1" w14:textId="77777777" w:rsidR="00A95F3E" w:rsidRPr="00A27113" w:rsidRDefault="00A95F3E" w:rsidP="009C3752">
      <w:r w:rsidRPr="00A27113">
        <w:t>Accès à distance aux données délivrées par un Compteur, généralement à l’aide d’une interface connectée à une liaison de télécommunication physique.</w:t>
      </w:r>
    </w:p>
    <w:p w14:paraId="27130EDB" w14:textId="77777777" w:rsidR="00A95F3E" w:rsidRPr="00A27113" w:rsidRDefault="00A95F3E" w:rsidP="009C3752">
      <w:pPr>
        <w:rPr>
          <w:b/>
        </w:rPr>
      </w:pPr>
      <w:r w:rsidRPr="00A27113">
        <w:rPr>
          <w:b/>
        </w:rPr>
        <w:t>Tension Contractuelle (Uc)</w:t>
      </w:r>
    </w:p>
    <w:p w14:paraId="212DB855" w14:textId="77777777" w:rsidR="00A95F3E" w:rsidRPr="00A27113" w:rsidRDefault="00A95F3E" w:rsidP="009C3752">
      <w:r w:rsidRPr="00A27113">
        <w:t xml:space="preserve">Référence des engagements </w:t>
      </w:r>
      <w:r>
        <w:t>du GRD</w:t>
      </w:r>
      <w:r w:rsidRPr="00A27113">
        <w:t xml:space="preserve"> en matière de tension. Sa valeur, fixée dans le Contrat Unique, peut différer de la Tension Nominale (U</w:t>
      </w:r>
      <w:r w:rsidRPr="00A27113">
        <w:rPr>
          <w:vertAlign w:val="subscript"/>
        </w:rPr>
        <w:t>n</w:t>
      </w:r>
      <w:r w:rsidRPr="00A27113">
        <w:t>).</w:t>
      </w:r>
    </w:p>
    <w:p w14:paraId="7205675F" w14:textId="77777777" w:rsidR="00A95F3E" w:rsidRPr="00A27113" w:rsidRDefault="00A95F3E" w:rsidP="009C3752">
      <w:pPr>
        <w:rPr>
          <w:b/>
        </w:rPr>
      </w:pPr>
      <w:r w:rsidRPr="00A27113">
        <w:rPr>
          <w:b/>
        </w:rPr>
        <w:t>Tension de Fourniture (Uf)</w:t>
      </w:r>
    </w:p>
    <w:p w14:paraId="545BA730" w14:textId="77777777" w:rsidR="00A95F3E" w:rsidRPr="00A27113" w:rsidRDefault="00A95F3E" w:rsidP="009C3752">
      <w:r w:rsidRPr="00A27113">
        <w:t xml:space="preserve">Valeur de la tension </w:t>
      </w:r>
      <w:r>
        <w:t>que le GRD</w:t>
      </w:r>
      <w:r w:rsidRPr="00A27113">
        <w:t xml:space="preserve"> délivre au Point de Livraison du Client à un instant donné.</w:t>
      </w:r>
    </w:p>
    <w:p w14:paraId="5B29CA0E" w14:textId="77777777" w:rsidR="00A95F3E" w:rsidRPr="00A27113" w:rsidRDefault="00A95F3E" w:rsidP="009C3752">
      <w:pPr>
        <w:rPr>
          <w:b/>
        </w:rPr>
      </w:pPr>
      <w:r w:rsidRPr="00A27113">
        <w:rPr>
          <w:b/>
        </w:rPr>
        <w:t>Tension Nominale (Un)</w:t>
      </w:r>
    </w:p>
    <w:p w14:paraId="6D397152" w14:textId="77777777" w:rsidR="00A95F3E" w:rsidRPr="00A27113" w:rsidRDefault="00A95F3E" w:rsidP="009C3752">
      <w:r w:rsidRPr="00A27113">
        <w:t>Tension appartenant au Domaine de Tension qui a servi de référence à la conception d'un réseau ou d'un matériel et qui est utilisée par la suite pour le désigner.</w:t>
      </w:r>
    </w:p>
    <w:p w14:paraId="4FBD48C1" w14:textId="77777777" w:rsidR="00A95F3E" w:rsidRPr="00A27113" w:rsidRDefault="00A95F3E" w:rsidP="009C3752">
      <w:pPr>
        <w:rPr>
          <w:b/>
        </w:rPr>
      </w:pPr>
      <w:r w:rsidRPr="00A27113">
        <w:rPr>
          <w:b/>
        </w:rPr>
        <w:t>Utilisateur du RPD</w:t>
      </w:r>
    </w:p>
    <w:p w14:paraId="2B9CF898" w14:textId="77777777" w:rsidR="00A95F3E" w:rsidRPr="00A27113" w:rsidRDefault="00A95F3E" w:rsidP="009C3752">
      <w:r w:rsidRPr="00A27113">
        <w:t>Toute personne physique ou morale directement desservie par un réseau public de distribution et titulaire d’un contrat d’accès au RPD au titre duquel un rattachement à un périmètre d’équilibre est exigé.</w:t>
      </w:r>
    </w:p>
    <w:p w14:paraId="3FF9A8F3" w14:textId="77777777" w:rsidR="00A95F3E" w:rsidRPr="00A27113" w:rsidRDefault="00A95F3E" w:rsidP="009C3752">
      <w:pPr>
        <w:rPr>
          <w:b/>
        </w:rPr>
      </w:pPr>
      <w:r w:rsidRPr="00A27113">
        <w:rPr>
          <w:b/>
        </w:rPr>
        <w:t>Variations Rapides de la Tension</w:t>
      </w:r>
    </w:p>
    <w:p w14:paraId="67D341ED" w14:textId="77777777" w:rsidR="00A95F3E" w:rsidRPr="00A27113" w:rsidRDefault="00A95F3E" w:rsidP="009C3752">
      <w:r w:rsidRPr="00A27113">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p>
    <w:p w14:paraId="2E94FE29" w14:textId="77777777" w:rsidR="00A95F3E" w:rsidRPr="00A27113" w:rsidRDefault="00A95F3E" w:rsidP="009C3752">
      <w:pPr>
        <w:pStyle w:val="Dfinitions"/>
      </w:pPr>
    </w:p>
    <w:p w14:paraId="24E7354D" w14:textId="77777777" w:rsidR="00A95F3E" w:rsidRDefault="00A95F3E" w:rsidP="009C3752"/>
    <w:p w14:paraId="54F48C9C" w14:textId="77777777" w:rsidR="00A95F3E" w:rsidRPr="00803A46" w:rsidRDefault="00A95F3E" w:rsidP="009C3752"/>
    <w:p w14:paraId="44C31B02" w14:textId="77777777" w:rsidR="00A95F3E" w:rsidRPr="00803A46" w:rsidRDefault="00A95F3E" w:rsidP="009C3752"/>
    <w:p w14:paraId="0BEFE981" w14:textId="77777777" w:rsidR="00A95F3E" w:rsidRDefault="00A95F3E" w:rsidP="009C3752">
      <w:pPr>
        <w:sectPr w:rsidR="00A95F3E" w:rsidSect="009C3752">
          <w:headerReference w:type="first" r:id="rId17"/>
          <w:footerReference w:type="first" r:id="rId18"/>
          <w:pgSz w:w="11906" w:h="16838" w:code="9"/>
          <w:pgMar w:top="1701" w:right="794" w:bottom="1701" w:left="794" w:header="567" w:footer="152" w:gutter="0"/>
          <w:cols w:space="708"/>
          <w:docGrid w:linePitch="360"/>
        </w:sectPr>
      </w:pPr>
    </w:p>
    <w:p w14:paraId="0DDDC22C" w14:textId="77777777" w:rsidR="00A95F3E" w:rsidRPr="00803A46" w:rsidRDefault="00A95F3E" w:rsidP="009C3752"/>
    <w:sectPr w:rsidR="00A95F3E" w:rsidRPr="00803A46" w:rsidSect="00A95F3E">
      <w:headerReference w:type="first" r:id="rId19"/>
      <w:footerReference w:type="first" r:id="rId20"/>
      <w:type w:val="continuous"/>
      <w:pgSz w:w="11906" w:h="16838" w:code="9"/>
      <w:pgMar w:top="1701" w:right="794" w:bottom="1701" w:left="794" w:header="567"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21A27" w14:textId="77777777" w:rsidR="00E35256" w:rsidRDefault="00E35256" w:rsidP="009C3752">
      <w:r>
        <w:separator/>
      </w:r>
    </w:p>
  </w:endnote>
  <w:endnote w:type="continuationSeparator" w:id="0">
    <w:p w14:paraId="24D1441A" w14:textId="77777777" w:rsidR="00E35256" w:rsidRDefault="00E35256" w:rsidP="009C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Neris-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6863" w14:textId="77777777" w:rsidR="00A95F3E" w:rsidRDefault="00A95F3E" w:rsidP="009C375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36</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36</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534"/>
      <w:gridCol w:w="784"/>
    </w:tblGrid>
    <w:tr w:rsidR="00A95F3E" w14:paraId="6772003E" w14:textId="77777777" w:rsidTr="00DB663D">
      <w:trPr>
        <w:cantSplit/>
      </w:trPr>
      <w:tc>
        <w:tcPr>
          <w:tcW w:w="4620" w:type="pct"/>
          <w:vAlign w:val="bottom"/>
        </w:tcPr>
        <w:p w14:paraId="462988AA" w14:textId="22D51B97" w:rsidR="00A95F3E" w:rsidRDefault="00A95F3E" w:rsidP="009C3752">
          <w:pPr>
            <w:pStyle w:val="Pieddepage"/>
            <w:spacing w:before="0" w:after="0"/>
          </w:pPr>
          <w:r>
            <w:rPr>
              <w:noProof/>
            </w:rPr>
            <w:fldChar w:fldCharType="begin"/>
          </w:r>
          <w:r>
            <w:rPr>
              <w:noProof/>
            </w:rPr>
            <w:instrText xml:space="preserve"> STYLEREF  S_Identification  \* MERGEFORMAT </w:instrText>
          </w:r>
          <w:r>
            <w:rPr>
              <w:noProof/>
            </w:rPr>
            <w:fldChar w:fldCharType="separate"/>
          </w:r>
          <w:r w:rsidR="0058143B">
            <w:rPr>
              <w:noProof/>
            </w:rPr>
            <w:t>Annexe 3 du contrat GRD-F - Régie d'Electricité d'Elbeuf</w:t>
          </w:r>
          <w:r>
            <w:rPr>
              <w:noProof/>
            </w:rPr>
            <w:fldChar w:fldCharType="end"/>
          </w:r>
        </w:p>
        <w:p w14:paraId="426CAE69" w14:textId="77777777" w:rsidR="00A95F3E" w:rsidRDefault="00A95F3E" w:rsidP="00AF676F">
          <w:pPr>
            <w:pStyle w:val="Pieddepage"/>
            <w:spacing w:before="0" w:after="0"/>
          </w:pPr>
        </w:p>
      </w:tc>
      <w:tc>
        <w:tcPr>
          <w:tcW w:w="380" w:type="pct"/>
          <w:vAlign w:val="bottom"/>
        </w:tcPr>
        <w:p w14:paraId="5E6BC504" w14:textId="77777777" w:rsidR="00A95F3E" w:rsidRDefault="00A95F3E" w:rsidP="009C3752">
          <w:pPr>
            <w:pStyle w:val="Pieddepage"/>
          </w:pPr>
        </w:p>
      </w:tc>
    </w:tr>
  </w:tbl>
  <w:p w14:paraId="1B8049E7" w14:textId="77777777" w:rsidR="00A95F3E" w:rsidRPr="002109E8" w:rsidRDefault="00A95F3E" w:rsidP="002677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DB3A" w14:textId="77777777" w:rsidR="00A95F3E" w:rsidRDefault="00A95F3E" w:rsidP="009C3752">
    <w:pPr>
      <w:jc w:val="right"/>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37</w:t>
    </w:r>
    <w:r>
      <w:rPr>
        <w:rStyle w:val="Numrodepage"/>
        <w:noProof/>
        <w:sz w:val="16"/>
        <w:szCs w:val="16"/>
      </w:rPr>
      <w:fldChar w:fldCharType="end"/>
    </w:r>
  </w:p>
  <w:p w14:paraId="58CF32B6" w14:textId="77777777" w:rsidR="00A95F3E" w:rsidRDefault="00A95F3E" w:rsidP="009C3752">
    <w:pPr>
      <w:jc w:val="right"/>
      <w:rPr>
        <w:rStyle w:val="Numrodepage"/>
        <w:sz w:val="16"/>
        <w:szCs w:val="16"/>
      </w:rPr>
    </w:pPr>
  </w:p>
  <w:p w14:paraId="1FD946A9" w14:textId="77777777" w:rsidR="00A95F3E" w:rsidRPr="002109E8" w:rsidRDefault="00A95F3E" w:rsidP="009C3752">
    <w:pPr>
      <w:pStyle w:val="Pieddepage"/>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91E5B" w14:textId="77777777" w:rsidR="00A95F3E" w:rsidRDefault="00A95F3E"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Pr="00A235A9">
      <w:rPr>
        <w:rStyle w:val="Numrodepage"/>
        <w:noProof/>
        <w:sz w:val="16"/>
        <w:szCs w:val="16"/>
      </w:rPr>
      <w:t>38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A95F3E" w14:paraId="48C55381" w14:textId="77777777" w:rsidTr="00DB663D">
      <w:trPr>
        <w:cantSplit/>
      </w:trPr>
      <w:tc>
        <w:tcPr>
          <w:tcW w:w="2134" w:type="pct"/>
          <w:vAlign w:val="bottom"/>
        </w:tcPr>
        <w:p w14:paraId="620E42D4" w14:textId="77777777" w:rsidR="00A95F3E" w:rsidRPr="00BC6E54" w:rsidRDefault="00A95F3E" w:rsidP="009C3752">
          <w:r w:rsidRPr="00BC6E54">
            <w:t>Enedis - Tour Enedis</w:t>
          </w:r>
        </w:p>
        <w:p w14:paraId="58269A94" w14:textId="77777777" w:rsidR="00A95F3E" w:rsidRPr="00BC6E54" w:rsidRDefault="00A95F3E" w:rsidP="009C3752">
          <w:r w:rsidRPr="00BC6E54">
            <w:t>34 place des Corolles</w:t>
          </w:r>
        </w:p>
        <w:p w14:paraId="5C04F841" w14:textId="77777777" w:rsidR="00A95F3E" w:rsidRPr="00BC6E54" w:rsidRDefault="00A95F3E" w:rsidP="009C3752">
          <w:r w:rsidRPr="00BC6E54">
            <w:t>92079 Paris La Défense Cedex</w:t>
          </w:r>
        </w:p>
        <w:p w14:paraId="45B4C34F" w14:textId="77777777" w:rsidR="00A95F3E" w:rsidRPr="00BC6E54" w:rsidRDefault="00A95F3E" w:rsidP="009C3752">
          <w:pPr>
            <w:pStyle w:val="Pieddepage"/>
          </w:pPr>
          <w:r w:rsidRPr="00BC6E54">
            <w:t xml:space="preserve">enedis.fr </w:t>
          </w:r>
        </w:p>
      </w:tc>
      <w:tc>
        <w:tcPr>
          <w:tcW w:w="2486" w:type="pct"/>
          <w:vAlign w:val="bottom"/>
        </w:tcPr>
        <w:p w14:paraId="42B5848B" w14:textId="77777777" w:rsidR="00A95F3E" w:rsidRDefault="00A95F3E" w:rsidP="009C3752">
          <w:pPr>
            <w:pStyle w:val="Pieddepage"/>
          </w:pPr>
          <w:r>
            <w:t>SA à directoire et à conseil de surveillance</w:t>
          </w:r>
        </w:p>
        <w:p w14:paraId="48AA8FFA" w14:textId="77777777" w:rsidR="00A95F3E" w:rsidRDefault="00A95F3E" w:rsidP="009C3752">
          <w:pPr>
            <w:pStyle w:val="Pieddepage"/>
          </w:pPr>
          <w:r>
            <w:t>Capital de 270 037 000 euros</w:t>
          </w:r>
        </w:p>
        <w:p w14:paraId="52624E99" w14:textId="77777777" w:rsidR="00A95F3E" w:rsidRDefault="00A95F3E" w:rsidP="009C3752">
          <w:pPr>
            <w:pStyle w:val="Pieddepage"/>
          </w:pPr>
          <w:r>
            <w:t>R.C.S. de Nanterre 444 608 442</w:t>
          </w:r>
        </w:p>
        <w:p w14:paraId="206E2930" w14:textId="77777777" w:rsidR="00A95F3E" w:rsidRDefault="00A95F3E" w:rsidP="009C3752">
          <w:pPr>
            <w:pStyle w:val="Pieddepage"/>
          </w:pPr>
          <w:r>
            <w:t>Enedis est certifié ISO 14001 pour l’environnement</w:t>
          </w:r>
        </w:p>
      </w:tc>
      <w:tc>
        <w:tcPr>
          <w:tcW w:w="380" w:type="pct"/>
          <w:vAlign w:val="bottom"/>
        </w:tcPr>
        <w:p w14:paraId="3D2ED59A" w14:textId="77777777" w:rsidR="00A95F3E" w:rsidRDefault="00A95F3E" w:rsidP="009C3752">
          <w:pPr>
            <w:pStyle w:val="Pieddepage"/>
          </w:pPr>
          <w:r>
            <w:rPr>
              <w:noProof/>
            </w:rPr>
            <w:drawing>
              <wp:inline distT="0" distB="0" distL="0" distR="0" wp14:anchorId="2AC73480" wp14:editId="3735CDC5">
                <wp:extent cx="360000" cy="360752"/>
                <wp:effectExtent l="19050" t="0" r="1950" b="0"/>
                <wp:docPr id="3"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55215E8B" w14:textId="77777777" w:rsidR="00A95F3E" w:rsidRPr="002109E8" w:rsidRDefault="00A95F3E" w:rsidP="009C375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CD811" w14:textId="77777777" w:rsidR="004B075B" w:rsidRDefault="004B075B"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Pr="00A235A9">
      <w:rPr>
        <w:rStyle w:val="Numrodepage"/>
        <w:noProof/>
        <w:sz w:val="16"/>
        <w:szCs w:val="16"/>
      </w:rPr>
      <w:t>38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4B075B" w14:paraId="7879FC1C" w14:textId="77777777" w:rsidTr="00DB663D">
      <w:trPr>
        <w:cantSplit/>
      </w:trPr>
      <w:tc>
        <w:tcPr>
          <w:tcW w:w="2134" w:type="pct"/>
          <w:vAlign w:val="bottom"/>
        </w:tcPr>
        <w:p w14:paraId="69E9BD7E" w14:textId="77777777" w:rsidR="004B075B" w:rsidRPr="00BC6E54" w:rsidRDefault="004B075B" w:rsidP="009C3752">
          <w:r w:rsidRPr="00BC6E54">
            <w:t>Enedis - Tour Enedis</w:t>
          </w:r>
        </w:p>
        <w:p w14:paraId="47178941" w14:textId="77777777" w:rsidR="004B075B" w:rsidRPr="00BC6E54" w:rsidRDefault="004B075B" w:rsidP="009C3752">
          <w:r w:rsidRPr="00BC6E54">
            <w:t>34 place des Corolles</w:t>
          </w:r>
        </w:p>
        <w:p w14:paraId="6CF94D77" w14:textId="77777777" w:rsidR="004B075B" w:rsidRPr="00BC6E54" w:rsidRDefault="004B075B" w:rsidP="009C3752">
          <w:r w:rsidRPr="00BC6E54">
            <w:t>92079 Paris La Défense Cedex</w:t>
          </w:r>
        </w:p>
        <w:p w14:paraId="331DB9AE" w14:textId="77777777" w:rsidR="004B075B" w:rsidRPr="00BC6E54" w:rsidRDefault="004B075B" w:rsidP="009C3752">
          <w:pPr>
            <w:pStyle w:val="Pieddepage"/>
          </w:pPr>
          <w:r w:rsidRPr="00BC6E54">
            <w:t xml:space="preserve">enedis.fr </w:t>
          </w:r>
        </w:p>
      </w:tc>
      <w:tc>
        <w:tcPr>
          <w:tcW w:w="2486" w:type="pct"/>
          <w:vAlign w:val="bottom"/>
        </w:tcPr>
        <w:p w14:paraId="16690DF9" w14:textId="77777777" w:rsidR="004B075B" w:rsidRDefault="004B075B" w:rsidP="009C3752">
          <w:pPr>
            <w:pStyle w:val="Pieddepage"/>
          </w:pPr>
          <w:r>
            <w:t>SA à directoire et à conseil de surveillance</w:t>
          </w:r>
        </w:p>
        <w:p w14:paraId="5749C10D" w14:textId="77777777" w:rsidR="004B075B" w:rsidRDefault="004B075B" w:rsidP="009C3752">
          <w:pPr>
            <w:pStyle w:val="Pieddepage"/>
          </w:pPr>
          <w:r>
            <w:t>Capital de 270 037 000 euros</w:t>
          </w:r>
        </w:p>
        <w:p w14:paraId="43800762" w14:textId="77777777" w:rsidR="004B075B" w:rsidRDefault="004B075B" w:rsidP="009C3752">
          <w:pPr>
            <w:pStyle w:val="Pieddepage"/>
          </w:pPr>
          <w:r>
            <w:t>R.C.S. de Nanterre 444 608 442</w:t>
          </w:r>
        </w:p>
        <w:p w14:paraId="21A81784" w14:textId="77777777" w:rsidR="004B075B" w:rsidRDefault="004B075B" w:rsidP="009C3752">
          <w:pPr>
            <w:pStyle w:val="Pieddepage"/>
          </w:pPr>
          <w:r>
            <w:t>Enedis est certifié ISO 14001 pour l’environnement</w:t>
          </w:r>
        </w:p>
      </w:tc>
      <w:tc>
        <w:tcPr>
          <w:tcW w:w="380" w:type="pct"/>
          <w:vAlign w:val="bottom"/>
        </w:tcPr>
        <w:p w14:paraId="489ADF6C" w14:textId="77777777" w:rsidR="004B075B" w:rsidRDefault="004B075B" w:rsidP="009C3752">
          <w:pPr>
            <w:pStyle w:val="Pieddepage"/>
          </w:pPr>
          <w:r>
            <w:rPr>
              <w:noProof/>
            </w:rPr>
            <w:drawing>
              <wp:inline distT="0" distB="0" distL="0" distR="0" wp14:anchorId="28F3FE93" wp14:editId="337A042D">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7AC9C21E" w14:textId="77777777" w:rsidR="004B075B" w:rsidRPr="002109E8" w:rsidRDefault="004B075B" w:rsidP="009C37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2B69" w14:textId="77777777" w:rsidR="00E35256" w:rsidRDefault="00E35256" w:rsidP="009C3752">
      <w:r>
        <w:separator/>
      </w:r>
    </w:p>
  </w:footnote>
  <w:footnote w:type="continuationSeparator" w:id="0">
    <w:p w14:paraId="5D29B47E" w14:textId="77777777" w:rsidR="00E35256" w:rsidRDefault="00E35256" w:rsidP="009C3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3"/>
      <w:gridCol w:w="8575"/>
    </w:tblGrid>
    <w:tr w:rsidR="00A95F3E" w14:paraId="122D40BF" w14:textId="77777777" w:rsidTr="002109E8">
      <w:trPr>
        <w:cantSplit/>
      </w:trPr>
      <w:tc>
        <w:tcPr>
          <w:tcW w:w="1758" w:type="dxa"/>
        </w:tcPr>
        <w:p w14:paraId="1D1074BC" w14:textId="77777777" w:rsidR="00A95F3E" w:rsidRDefault="00A95F3E" w:rsidP="0061143A">
          <w:pPr>
            <w:pStyle w:val="En-tte"/>
            <w:jc w:val="center"/>
          </w:pPr>
          <w:r>
            <w:rPr>
              <w:noProof/>
            </w:rPr>
            <w:drawing>
              <wp:inline distT="0" distB="0" distL="0" distR="0" wp14:anchorId="5529E760" wp14:editId="439E259E">
                <wp:extent cx="441960" cy="4419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p>
      </w:tc>
      <w:tc>
        <w:tcPr>
          <w:tcW w:w="8674" w:type="dxa"/>
        </w:tcPr>
        <w:p w14:paraId="1B5B21D2" w14:textId="4A408427" w:rsidR="00A95F3E" w:rsidRPr="0026772B" w:rsidRDefault="00A95F3E" w:rsidP="00786455">
          <w:pPr>
            <w:pStyle w:val="En-tte"/>
            <w:spacing w:before="0"/>
            <w:ind w:left="1219"/>
            <w:rPr>
              <w:color w:val="575757" w:themeColor="text1"/>
              <w:sz w:val="24"/>
              <w:szCs w:val="24"/>
            </w:rPr>
          </w:pPr>
          <w:r w:rsidRPr="0026772B">
            <w:rPr>
              <w:color w:val="575757" w:themeColor="text1"/>
              <w:sz w:val="24"/>
              <w:szCs w:val="24"/>
            </w:rPr>
            <w:fldChar w:fldCharType="begin"/>
          </w:r>
          <w:r w:rsidRPr="0026772B">
            <w:rPr>
              <w:color w:val="575757" w:themeColor="text1"/>
              <w:sz w:val="24"/>
              <w:szCs w:val="24"/>
            </w:rPr>
            <w:instrText xml:space="preserve"> STYLEREF  "S_Titre Document"  \* CHARFORMAT </w:instrText>
          </w:r>
          <w:r w:rsidRPr="0026772B">
            <w:rPr>
              <w:color w:val="575757" w:themeColor="text1"/>
              <w:sz w:val="24"/>
              <w:szCs w:val="24"/>
            </w:rPr>
            <w:fldChar w:fldCharType="separate"/>
          </w:r>
          <w:r w:rsidR="0058143B">
            <w:rPr>
              <w:noProof/>
              <w:color w:val="575757" w:themeColor="text1"/>
              <w:sz w:val="24"/>
              <w:szCs w:val="24"/>
            </w:rPr>
            <w:t>ANNEXE 3 Dispositions générales relatives à l’accès et à l’utilisation du RPD pour les Sites en Contrat Unique alimentés en BT et de Puissance Souscrite ≤ 36 kVA</w:t>
          </w:r>
          <w:r w:rsidRPr="0026772B">
            <w:rPr>
              <w:color w:val="575757" w:themeColor="text1"/>
              <w:sz w:val="24"/>
              <w:szCs w:val="24"/>
            </w:rPr>
            <w:fldChar w:fldCharType="end"/>
          </w:r>
          <w:r>
            <w:rPr>
              <w:color w:val="575757" w:themeColor="text1"/>
              <w:sz w:val="24"/>
              <w:szCs w:val="24"/>
            </w:rPr>
            <w:t xml:space="preserve"> - </w:t>
          </w:r>
          <w:r w:rsidRPr="004D2399">
            <w:rPr>
              <w:noProof/>
              <w:sz w:val="24"/>
              <w:szCs w:val="24"/>
            </w:rPr>
            <w:t>Régie d'Electricité d'Elbeuf</w:t>
          </w:r>
        </w:p>
      </w:tc>
    </w:tr>
  </w:tbl>
  <w:p w14:paraId="6D198F7D" w14:textId="77777777" w:rsidR="00A95F3E" w:rsidRDefault="00A95F3E" w:rsidP="009C37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9FE1E" w14:textId="77777777" w:rsidR="00A95F3E" w:rsidRDefault="00A95F3E" w:rsidP="009C3752">
    <w:pPr>
      <w:pStyle w:val="En-tte"/>
    </w:pPr>
  </w:p>
  <w:p w14:paraId="45168F01" w14:textId="77777777" w:rsidR="00A95F3E" w:rsidRDefault="00A95F3E" w:rsidP="009C375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A4C0C" w14:textId="77777777" w:rsidR="00A95F3E" w:rsidRDefault="00A95F3E" w:rsidP="009C3752">
    <w:pPr>
      <w:pStyle w:val="En-tte"/>
    </w:pPr>
    <w:r>
      <w:rPr>
        <w:noProof/>
      </w:rPr>
      <w:drawing>
        <wp:inline distT="0" distB="0" distL="0" distR="0" wp14:anchorId="2515ECC7" wp14:editId="5529419E">
          <wp:extent cx="1620000" cy="512875"/>
          <wp:effectExtent l="19050" t="0" r="0" b="0"/>
          <wp:docPr id="2"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78A4E" w14:textId="77777777" w:rsidR="004B075B" w:rsidRDefault="004B075B" w:rsidP="009C3752">
    <w:pPr>
      <w:pStyle w:val="En-tte"/>
    </w:pPr>
    <w:r>
      <w:rPr>
        <w:noProof/>
      </w:rPr>
      <w:drawing>
        <wp:inline distT="0" distB="0" distL="0" distR="0" wp14:anchorId="2623CC0B" wp14:editId="465794CB">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CAB2A162"/>
    <w:lvl w:ilvl="0">
      <w:numFmt w:val="decimal"/>
      <w:pStyle w:val="Enumration2"/>
      <w:lvlText w:val="*"/>
      <w:lvlJc w:val="left"/>
    </w:lvl>
  </w:abstractNum>
  <w:abstractNum w:abstractNumId="1" w15:restartNumberingAfterBreak="1">
    <w:nsid w:val="05EF5B66"/>
    <w:multiLevelType w:val="hybridMultilevel"/>
    <w:tmpl w:val="27CC00A0"/>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64E1D96"/>
    <w:multiLevelType w:val="hybridMultilevel"/>
    <w:tmpl w:val="55AC3E56"/>
    <w:lvl w:ilvl="0" w:tplc="81CCD49A">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1">
    <w:nsid w:val="0839185A"/>
    <w:multiLevelType w:val="hybridMultilevel"/>
    <w:tmpl w:val="BD8426A4"/>
    <w:lvl w:ilvl="0" w:tplc="040C0003">
      <w:start w:val="1"/>
      <w:numFmt w:val="bullet"/>
      <w:lvlText w:val="o"/>
      <w:lvlJc w:val="left"/>
      <w:pPr>
        <w:ind w:left="720" w:hanging="360"/>
      </w:pPr>
      <w:rPr>
        <w:rFonts w:ascii="Courier New" w:hAnsi="Courier New" w:cs="Courier New" w:hint="default"/>
        <w:color w:val="005EB8" w:themeColor="background2"/>
        <w:sz w:val="18"/>
        <w:szCs w:val="18"/>
      </w:rPr>
    </w:lvl>
    <w:lvl w:ilvl="1" w:tplc="E5CA3472">
      <w:start w:val="1"/>
      <w:numFmt w:val="bullet"/>
      <w:lvlText w:val="o"/>
      <w:lvlJc w:val="left"/>
      <w:pPr>
        <w:ind w:left="1440" w:hanging="360"/>
      </w:pPr>
      <w:rPr>
        <w:rFonts w:ascii="Courier New" w:hAnsi="Courier New" w:cs="Courier New" w:hint="default"/>
      </w:rPr>
    </w:lvl>
    <w:lvl w:ilvl="2" w:tplc="5986D34C" w:tentative="1">
      <w:start w:val="1"/>
      <w:numFmt w:val="bullet"/>
      <w:lvlText w:val=""/>
      <w:lvlJc w:val="left"/>
      <w:pPr>
        <w:ind w:left="2160" w:hanging="360"/>
      </w:pPr>
      <w:rPr>
        <w:rFonts w:ascii="Wingdings" w:hAnsi="Wingdings" w:hint="default"/>
      </w:rPr>
    </w:lvl>
    <w:lvl w:ilvl="3" w:tplc="C90A043A" w:tentative="1">
      <w:start w:val="1"/>
      <w:numFmt w:val="bullet"/>
      <w:lvlText w:val=""/>
      <w:lvlJc w:val="left"/>
      <w:pPr>
        <w:ind w:left="2880" w:hanging="360"/>
      </w:pPr>
      <w:rPr>
        <w:rFonts w:ascii="Symbol" w:hAnsi="Symbol" w:hint="default"/>
      </w:rPr>
    </w:lvl>
    <w:lvl w:ilvl="4" w:tplc="622ED2E6" w:tentative="1">
      <w:start w:val="1"/>
      <w:numFmt w:val="bullet"/>
      <w:lvlText w:val="o"/>
      <w:lvlJc w:val="left"/>
      <w:pPr>
        <w:ind w:left="3600" w:hanging="360"/>
      </w:pPr>
      <w:rPr>
        <w:rFonts w:ascii="Courier New" w:hAnsi="Courier New" w:cs="Courier New" w:hint="default"/>
      </w:rPr>
    </w:lvl>
    <w:lvl w:ilvl="5" w:tplc="551C8FA6" w:tentative="1">
      <w:start w:val="1"/>
      <w:numFmt w:val="bullet"/>
      <w:lvlText w:val=""/>
      <w:lvlJc w:val="left"/>
      <w:pPr>
        <w:ind w:left="4320" w:hanging="360"/>
      </w:pPr>
      <w:rPr>
        <w:rFonts w:ascii="Wingdings" w:hAnsi="Wingdings" w:hint="default"/>
      </w:rPr>
    </w:lvl>
    <w:lvl w:ilvl="6" w:tplc="803627D0" w:tentative="1">
      <w:start w:val="1"/>
      <w:numFmt w:val="bullet"/>
      <w:lvlText w:val=""/>
      <w:lvlJc w:val="left"/>
      <w:pPr>
        <w:ind w:left="5040" w:hanging="360"/>
      </w:pPr>
      <w:rPr>
        <w:rFonts w:ascii="Symbol" w:hAnsi="Symbol" w:hint="default"/>
      </w:rPr>
    </w:lvl>
    <w:lvl w:ilvl="7" w:tplc="D966C40C" w:tentative="1">
      <w:start w:val="1"/>
      <w:numFmt w:val="bullet"/>
      <w:lvlText w:val="o"/>
      <w:lvlJc w:val="left"/>
      <w:pPr>
        <w:ind w:left="5760" w:hanging="360"/>
      </w:pPr>
      <w:rPr>
        <w:rFonts w:ascii="Courier New" w:hAnsi="Courier New" w:cs="Courier New" w:hint="default"/>
      </w:rPr>
    </w:lvl>
    <w:lvl w:ilvl="8" w:tplc="BC4E9DA0" w:tentative="1">
      <w:start w:val="1"/>
      <w:numFmt w:val="bullet"/>
      <w:lvlText w:val=""/>
      <w:lvlJc w:val="left"/>
      <w:pPr>
        <w:ind w:left="6480" w:hanging="360"/>
      </w:pPr>
      <w:rPr>
        <w:rFonts w:ascii="Wingdings" w:hAnsi="Wingdings" w:hint="default"/>
      </w:rPr>
    </w:lvl>
  </w:abstractNum>
  <w:abstractNum w:abstractNumId="4" w15:restartNumberingAfterBreak="1">
    <w:nsid w:val="0CE434D4"/>
    <w:multiLevelType w:val="hybridMultilevel"/>
    <w:tmpl w:val="DEE8F556"/>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5" w15:restartNumberingAfterBreak="1">
    <w:nsid w:val="0E62059D"/>
    <w:multiLevelType w:val="hybridMultilevel"/>
    <w:tmpl w:val="62C6AAC0"/>
    <w:lvl w:ilvl="0" w:tplc="26167F18">
      <w:start w:val="67"/>
      <w:numFmt w:val="bullet"/>
      <w:lvlText w:val="-"/>
      <w:lvlJc w:val="left"/>
      <w:pPr>
        <w:ind w:left="720" w:hanging="360"/>
      </w:pPr>
      <w:rPr>
        <w:rFonts w:ascii="FranklinGothic-Book" w:eastAsia="Times New Roman" w:hAnsi="FranklinGothic-Book" w:cs="FranklinGothic-Boo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1">
    <w:nsid w:val="0F18312F"/>
    <w:multiLevelType w:val="hybridMultilevel"/>
    <w:tmpl w:val="464E96FA"/>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1">
    <w:nsid w:val="0F5D1224"/>
    <w:multiLevelType w:val="hybridMultilevel"/>
    <w:tmpl w:val="4C54A25E"/>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1">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9" w15:restartNumberingAfterBreak="1">
    <w:nsid w:val="122C433E"/>
    <w:multiLevelType w:val="hybridMultilevel"/>
    <w:tmpl w:val="F19C928E"/>
    <w:lvl w:ilvl="0" w:tplc="040C0001">
      <w:start w:val="1"/>
      <w:numFmt w:val="bullet"/>
      <w:lvlText w:val=""/>
      <w:lvlJc w:val="left"/>
      <w:pPr>
        <w:tabs>
          <w:tab w:val="num" w:pos="1004"/>
        </w:tabs>
        <w:ind w:left="1004"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1">
    <w:nsid w:val="18314D2F"/>
    <w:multiLevelType w:val="hybridMultilevel"/>
    <w:tmpl w:val="98E87964"/>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1">
    <w:nsid w:val="1868724F"/>
    <w:multiLevelType w:val="hybridMultilevel"/>
    <w:tmpl w:val="D87E06A4"/>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1E7D5AE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1">
    <w:nsid w:val="21AF7D1F"/>
    <w:multiLevelType w:val="hybridMultilevel"/>
    <w:tmpl w:val="8034E26E"/>
    <w:lvl w:ilvl="0" w:tplc="040C0001">
      <w:start w:val="1"/>
      <w:numFmt w:val="bullet"/>
      <w:lvlText w:val=""/>
      <w:lvlJc w:val="left"/>
      <w:pPr>
        <w:tabs>
          <w:tab w:val="num" w:pos="717"/>
        </w:tabs>
        <w:ind w:left="717"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1">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1">
    <w:nsid w:val="31886BC3"/>
    <w:multiLevelType w:val="hybridMultilevel"/>
    <w:tmpl w:val="CB0AD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398D2555"/>
    <w:multiLevelType w:val="hybridMultilevel"/>
    <w:tmpl w:val="5468A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18" w15:restartNumberingAfterBreak="1">
    <w:nsid w:val="41675622"/>
    <w:multiLevelType w:val="hybridMultilevel"/>
    <w:tmpl w:val="3F5E4F2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1">
    <w:nsid w:val="4A196197"/>
    <w:multiLevelType w:val="hybridMultilevel"/>
    <w:tmpl w:val="A872A660"/>
    <w:lvl w:ilvl="0" w:tplc="040C0003">
      <w:start w:val="1"/>
      <w:numFmt w:val="bullet"/>
      <w:lvlText w:val="o"/>
      <w:lvlJc w:val="left"/>
      <w:pPr>
        <w:ind w:left="720" w:hanging="360"/>
      </w:pPr>
      <w:rPr>
        <w:rFonts w:ascii="Courier New" w:hAnsi="Courier New" w:cs="Courier New" w:hint="default"/>
        <w:color w:val="005EB8" w:themeColor="background2"/>
        <w:sz w:val="18"/>
        <w:szCs w:val="18"/>
      </w:rPr>
    </w:lvl>
    <w:lvl w:ilvl="1" w:tplc="E5CA3472">
      <w:start w:val="1"/>
      <w:numFmt w:val="bullet"/>
      <w:lvlText w:val="o"/>
      <w:lvlJc w:val="left"/>
      <w:pPr>
        <w:ind w:left="1440" w:hanging="360"/>
      </w:pPr>
      <w:rPr>
        <w:rFonts w:ascii="Courier New" w:hAnsi="Courier New" w:cs="Courier New" w:hint="default"/>
      </w:rPr>
    </w:lvl>
    <w:lvl w:ilvl="2" w:tplc="5986D34C" w:tentative="1">
      <w:start w:val="1"/>
      <w:numFmt w:val="bullet"/>
      <w:lvlText w:val=""/>
      <w:lvlJc w:val="left"/>
      <w:pPr>
        <w:ind w:left="2160" w:hanging="360"/>
      </w:pPr>
      <w:rPr>
        <w:rFonts w:ascii="Wingdings" w:hAnsi="Wingdings" w:hint="default"/>
      </w:rPr>
    </w:lvl>
    <w:lvl w:ilvl="3" w:tplc="C90A043A" w:tentative="1">
      <w:start w:val="1"/>
      <w:numFmt w:val="bullet"/>
      <w:lvlText w:val=""/>
      <w:lvlJc w:val="left"/>
      <w:pPr>
        <w:ind w:left="2880" w:hanging="360"/>
      </w:pPr>
      <w:rPr>
        <w:rFonts w:ascii="Symbol" w:hAnsi="Symbol" w:hint="default"/>
      </w:rPr>
    </w:lvl>
    <w:lvl w:ilvl="4" w:tplc="622ED2E6" w:tentative="1">
      <w:start w:val="1"/>
      <w:numFmt w:val="bullet"/>
      <w:lvlText w:val="o"/>
      <w:lvlJc w:val="left"/>
      <w:pPr>
        <w:ind w:left="3600" w:hanging="360"/>
      </w:pPr>
      <w:rPr>
        <w:rFonts w:ascii="Courier New" w:hAnsi="Courier New" w:cs="Courier New" w:hint="default"/>
      </w:rPr>
    </w:lvl>
    <w:lvl w:ilvl="5" w:tplc="551C8FA6" w:tentative="1">
      <w:start w:val="1"/>
      <w:numFmt w:val="bullet"/>
      <w:lvlText w:val=""/>
      <w:lvlJc w:val="left"/>
      <w:pPr>
        <w:ind w:left="4320" w:hanging="360"/>
      </w:pPr>
      <w:rPr>
        <w:rFonts w:ascii="Wingdings" w:hAnsi="Wingdings" w:hint="default"/>
      </w:rPr>
    </w:lvl>
    <w:lvl w:ilvl="6" w:tplc="803627D0" w:tentative="1">
      <w:start w:val="1"/>
      <w:numFmt w:val="bullet"/>
      <w:lvlText w:val=""/>
      <w:lvlJc w:val="left"/>
      <w:pPr>
        <w:ind w:left="5040" w:hanging="360"/>
      </w:pPr>
      <w:rPr>
        <w:rFonts w:ascii="Symbol" w:hAnsi="Symbol" w:hint="default"/>
      </w:rPr>
    </w:lvl>
    <w:lvl w:ilvl="7" w:tplc="D966C40C" w:tentative="1">
      <w:start w:val="1"/>
      <w:numFmt w:val="bullet"/>
      <w:lvlText w:val="o"/>
      <w:lvlJc w:val="left"/>
      <w:pPr>
        <w:ind w:left="5760" w:hanging="360"/>
      </w:pPr>
      <w:rPr>
        <w:rFonts w:ascii="Courier New" w:hAnsi="Courier New" w:cs="Courier New" w:hint="default"/>
      </w:rPr>
    </w:lvl>
    <w:lvl w:ilvl="8" w:tplc="BC4E9DA0" w:tentative="1">
      <w:start w:val="1"/>
      <w:numFmt w:val="bullet"/>
      <w:lvlText w:val=""/>
      <w:lvlJc w:val="left"/>
      <w:pPr>
        <w:ind w:left="6480" w:hanging="360"/>
      </w:pPr>
      <w:rPr>
        <w:rFonts w:ascii="Wingdings" w:hAnsi="Wingdings" w:hint="default"/>
      </w:rPr>
    </w:lvl>
  </w:abstractNum>
  <w:abstractNum w:abstractNumId="20" w15:restartNumberingAfterBreak="1">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1">
    <w:nsid w:val="4FE01651"/>
    <w:multiLevelType w:val="hybridMultilevel"/>
    <w:tmpl w:val="A5FC3A54"/>
    <w:lvl w:ilvl="0" w:tplc="F59E7562">
      <w:start w:val="1"/>
      <w:numFmt w:val="bullet"/>
      <w:pStyle w:val="06Annexes"/>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22" w15:restartNumberingAfterBreak="1">
    <w:nsid w:val="563E41FF"/>
    <w:multiLevelType w:val="hybridMultilevel"/>
    <w:tmpl w:val="478AEE72"/>
    <w:lvl w:ilvl="0" w:tplc="8F38F78E">
      <w:start w:val="1"/>
      <w:numFmt w:val="bullet"/>
      <w:pStyle w:val="SPuce"/>
      <w:lvlText w:val="n"/>
      <w:lvlJc w:val="left"/>
      <w:pPr>
        <w:ind w:left="720" w:hanging="360"/>
      </w:pPr>
      <w:rPr>
        <w:rFonts w:ascii="Wingdings" w:hAnsi="Wingdings" w:hint="default"/>
        <w:color w:val="005EB8" w:themeColor="background2"/>
        <w:sz w:val="18"/>
        <w:szCs w:val="18"/>
      </w:rPr>
    </w:lvl>
    <w:lvl w:ilvl="1" w:tplc="CBF8790A">
      <w:start w:val="1"/>
      <w:numFmt w:val="bullet"/>
      <w:lvlText w:val="o"/>
      <w:lvlJc w:val="left"/>
      <w:pPr>
        <w:ind w:left="1440" w:hanging="360"/>
      </w:pPr>
      <w:rPr>
        <w:rFonts w:ascii="Courier New" w:hAnsi="Courier New" w:cs="Courier New" w:hint="default"/>
      </w:rPr>
    </w:lvl>
    <w:lvl w:ilvl="2" w:tplc="DAEE8BF6" w:tentative="1">
      <w:start w:val="1"/>
      <w:numFmt w:val="bullet"/>
      <w:lvlText w:val=""/>
      <w:lvlJc w:val="left"/>
      <w:pPr>
        <w:ind w:left="2160" w:hanging="360"/>
      </w:pPr>
      <w:rPr>
        <w:rFonts w:ascii="Wingdings" w:hAnsi="Wingdings" w:hint="default"/>
      </w:rPr>
    </w:lvl>
    <w:lvl w:ilvl="3" w:tplc="D30ADCCA" w:tentative="1">
      <w:start w:val="1"/>
      <w:numFmt w:val="bullet"/>
      <w:lvlText w:val=""/>
      <w:lvlJc w:val="left"/>
      <w:pPr>
        <w:ind w:left="2880" w:hanging="360"/>
      </w:pPr>
      <w:rPr>
        <w:rFonts w:ascii="Symbol" w:hAnsi="Symbol" w:hint="default"/>
      </w:rPr>
    </w:lvl>
    <w:lvl w:ilvl="4" w:tplc="E4961526" w:tentative="1">
      <w:start w:val="1"/>
      <w:numFmt w:val="bullet"/>
      <w:lvlText w:val="o"/>
      <w:lvlJc w:val="left"/>
      <w:pPr>
        <w:ind w:left="3600" w:hanging="360"/>
      </w:pPr>
      <w:rPr>
        <w:rFonts w:ascii="Courier New" w:hAnsi="Courier New" w:cs="Courier New" w:hint="default"/>
      </w:rPr>
    </w:lvl>
    <w:lvl w:ilvl="5" w:tplc="D57C8FCE" w:tentative="1">
      <w:start w:val="1"/>
      <w:numFmt w:val="bullet"/>
      <w:lvlText w:val=""/>
      <w:lvlJc w:val="left"/>
      <w:pPr>
        <w:ind w:left="4320" w:hanging="360"/>
      </w:pPr>
      <w:rPr>
        <w:rFonts w:ascii="Wingdings" w:hAnsi="Wingdings" w:hint="default"/>
      </w:rPr>
    </w:lvl>
    <w:lvl w:ilvl="6" w:tplc="614E4484" w:tentative="1">
      <w:start w:val="1"/>
      <w:numFmt w:val="bullet"/>
      <w:lvlText w:val=""/>
      <w:lvlJc w:val="left"/>
      <w:pPr>
        <w:ind w:left="5040" w:hanging="360"/>
      </w:pPr>
      <w:rPr>
        <w:rFonts w:ascii="Symbol" w:hAnsi="Symbol" w:hint="default"/>
      </w:rPr>
    </w:lvl>
    <w:lvl w:ilvl="7" w:tplc="FB906A30" w:tentative="1">
      <w:start w:val="1"/>
      <w:numFmt w:val="bullet"/>
      <w:lvlText w:val="o"/>
      <w:lvlJc w:val="left"/>
      <w:pPr>
        <w:ind w:left="5760" w:hanging="360"/>
      </w:pPr>
      <w:rPr>
        <w:rFonts w:ascii="Courier New" w:hAnsi="Courier New" w:cs="Courier New" w:hint="default"/>
      </w:rPr>
    </w:lvl>
    <w:lvl w:ilvl="8" w:tplc="1E2AA5AA" w:tentative="1">
      <w:start w:val="1"/>
      <w:numFmt w:val="bullet"/>
      <w:lvlText w:val=""/>
      <w:lvlJc w:val="left"/>
      <w:pPr>
        <w:ind w:left="6480" w:hanging="360"/>
      </w:pPr>
      <w:rPr>
        <w:rFonts w:ascii="Wingdings" w:hAnsi="Wingdings" w:hint="default"/>
      </w:rPr>
    </w:lvl>
  </w:abstractNum>
  <w:abstractNum w:abstractNumId="23" w15:restartNumberingAfterBreak="1">
    <w:nsid w:val="592815A8"/>
    <w:multiLevelType w:val="hybridMultilevel"/>
    <w:tmpl w:val="F2F68898"/>
    <w:lvl w:ilvl="0" w:tplc="8996AC92">
      <w:start w:val="1"/>
      <w:numFmt w:val="bullet"/>
      <w:lvlText w:val=""/>
      <w:lvlJc w:val="left"/>
      <w:pPr>
        <w:tabs>
          <w:tab w:val="num" w:pos="1004"/>
        </w:tabs>
        <w:ind w:left="1004" w:hanging="360"/>
      </w:pPr>
      <w:rPr>
        <w:rFonts w:ascii="Symbol" w:hAnsi="Symbol" w:hint="default"/>
      </w:rPr>
    </w:lvl>
    <w:lvl w:ilvl="1" w:tplc="CF28DF34" w:tentative="1">
      <w:start w:val="1"/>
      <w:numFmt w:val="bullet"/>
      <w:lvlText w:val="o"/>
      <w:lvlJc w:val="left"/>
      <w:pPr>
        <w:tabs>
          <w:tab w:val="num" w:pos="1298"/>
        </w:tabs>
        <w:ind w:left="1298" w:hanging="360"/>
      </w:pPr>
      <w:rPr>
        <w:rFonts w:ascii="Courier New" w:hAnsi="Courier New" w:hint="default"/>
      </w:rPr>
    </w:lvl>
    <w:lvl w:ilvl="2" w:tplc="569C3646" w:tentative="1">
      <w:start w:val="1"/>
      <w:numFmt w:val="bullet"/>
      <w:lvlText w:val=""/>
      <w:lvlJc w:val="left"/>
      <w:pPr>
        <w:tabs>
          <w:tab w:val="num" w:pos="2018"/>
        </w:tabs>
        <w:ind w:left="2018" w:hanging="360"/>
      </w:pPr>
      <w:rPr>
        <w:rFonts w:ascii="Wingdings" w:hAnsi="Wingdings" w:hint="default"/>
      </w:rPr>
    </w:lvl>
    <w:lvl w:ilvl="3" w:tplc="9FBA2030" w:tentative="1">
      <w:start w:val="1"/>
      <w:numFmt w:val="bullet"/>
      <w:lvlText w:val=""/>
      <w:lvlJc w:val="left"/>
      <w:pPr>
        <w:tabs>
          <w:tab w:val="num" w:pos="2738"/>
        </w:tabs>
        <w:ind w:left="2738" w:hanging="360"/>
      </w:pPr>
      <w:rPr>
        <w:rFonts w:ascii="Symbol" w:hAnsi="Symbol" w:hint="default"/>
      </w:rPr>
    </w:lvl>
    <w:lvl w:ilvl="4" w:tplc="38C8D300" w:tentative="1">
      <w:start w:val="1"/>
      <w:numFmt w:val="bullet"/>
      <w:lvlText w:val="o"/>
      <w:lvlJc w:val="left"/>
      <w:pPr>
        <w:tabs>
          <w:tab w:val="num" w:pos="3458"/>
        </w:tabs>
        <w:ind w:left="3458" w:hanging="360"/>
      </w:pPr>
      <w:rPr>
        <w:rFonts w:ascii="Courier New" w:hAnsi="Courier New" w:hint="default"/>
      </w:rPr>
    </w:lvl>
    <w:lvl w:ilvl="5" w:tplc="690C4C02" w:tentative="1">
      <w:start w:val="1"/>
      <w:numFmt w:val="bullet"/>
      <w:lvlText w:val=""/>
      <w:lvlJc w:val="left"/>
      <w:pPr>
        <w:tabs>
          <w:tab w:val="num" w:pos="4178"/>
        </w:tabs>
        <w:ind w:left="4178" w:hanging="360"/>
      </w:pPr>
      <w:rPr>
        <w:rFonts w:ascii="Wingdings" w:hAnsi="Wingdings" w:hint="default"/>
      </w:rPr>
    </w:lvl>
    <w:lvl w:ilvl="6" w:tplc="51941EBE" w:tentative="1">
      <w:start w:val="1"/>
      <w:numFmt w:val="bullet"/>
      <w:lvlText w:val=""/>
      <w:lvlJc w:val="left"/>
      <w:pPr>
        <w:tabs>
          <w:tab w:val="num" w:pos="4898"/>
        </w:tabs>
        <w:ind w:left="4898" w:hanging="360"/>
      </w:pPr>
      <w:rPr>
        <w:rFonts w:ascii="Symbol" w:hAnsi="Symbol" w:hint="default"/>
      </w:rPr>
    </w:lvl>
    <w:lvl w:ilvl="7" w:tplc="A232E274" w:tentative="1">
      <w:start w:val="1"/>
      <w:numFmt w:val="bullet"/>
      <w:lvlText w:val="o"/>
      <w:lvlJc w:val="left"/>
      <w:pPr>
        <w:tabs>
          <w:tab w:val="num" w:pos="5618"/>
        </w:tabs>
        <w:ind w:left="5618" w:hanging="360"/>
      </w:pPr>
      <w:rPr>
        <w:rFonts w:ascii="Courier New" w:hAnsi="Courier New" w:hint="default"/>
      </w:rPr>
    </w:lvl>
    <w:lvl w:ilvl="8" w:tplc="126E58B8" w:tentative="1">
      <w:start w:val="1"/>
      <w:numFmt w:val="bullet"/>
      <w:lvlText w:val=""/>
      <w:lvlJc w:val="left"/>
      <w:pPr>
        <w:tabs>
          <w:tab w:val="num" w:pos="6338"/>
        </w:tabs>
        <w:ind w:left="6338" w:hanging="360"/>
      </w:pPr>
      <w:rPr>
        <w:rFonts w:ascii="Wingdings" w:hAnsi="Wingdings" w:hint="default"/>
      </w:rPr>
    </w:lvl>
  </w:abstractNum>
  <w:abstractNum w:abstractNumId="24" w15:restartNumberingAfterBreak="1">
    <w:nsid w:val="5A454E40"/>
    <w:multiLevelType w:val="hybridMultilevel"/>
    <w:tmpl w:val="2CBC9D4A"/>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1">
    <w:nsid w:val="5C741F2C"/>
    <w:multiLevelType w:val="hybridMultilevel"/>
    <w:tmpl w:val="1AC4269C"/>
    <w:lvl w:ilvl="0" w:tplc="E00A8B54">
      <w:start w:val="1"/>
      <w:numFmt w:val="bullet"/>
      <w:lvlText w:val=""/>
      <w:lvlJc w:val="left"/>
      <w:pPr>
        <w:tabs>
          <w:tab w:val="num" w:pos="717"/>
        </w:tabs>
        <w:ind w:left="717" w:hanging="360"/>
      </w:pPr>
      <w:rPr>
        <w:rFonts w:ascii="Symbol" w:hAnsi="Symbol" w:hint="default"/>
      </w:rPr>
    </w:lvl>
    <w:lvl w:ilvl="1" w:tplc="894EF1E8">
      <w:start w:val="1"/>
      <w:numFmt w:val="bullet"/>
      <w:lvlText w:val="o"/>
      <w:lvlJc w:val="left"/>
      <w:pPr>
        <w:tabs>
          <w:tab w:val="num" w:pos="1153"/>
        </w:tabs>
        <w:ind w:left="1153" w:hanging="360"/>
      </w:pPr>
      <w:rPr>
        <w:rFonts w:ascii="Courier New" w:hAnsi="Courier New" w:hint="default"/>
      </w:rPr>
    </w:lvl>
    <w:lvl w:ilvl="2" w:tplc="D95AF46E" w:tentative="1">
      <w:start w:val="1"/>
      <w:numFmt w:val="bullet"/>
      <w:lvlText w:val=""/>
      <w:lvlJc w:val="left"/>
      <w:pPr>
        <w:tabs>
          <w:tab w:val="num" w:pos="1873"/>
        </w:tabs>
        <w:ind w:left="1873" w:hanging="360"/>
      </w:pPr>
      <w:rPr>
        <w:rFonts w:ascii="Wingdings" w:hAnsi="Wingdings" w:hint="default"/>
      </w:rPr>
    </w:lvl>
    <w:lvl w:ilvl="3" w:tplc="B7FCD05A" w:tentative="1">
      <w:start w:val="1"/>
      <w:numFmt w:val="bullet"/>
      <w:lvlText w:val=""/>
      <w:lvlJc w:val="left"/>
      <w:pPr>
        <w:tabs>
          <w:tab w:val="num" w:pos="2593"/>
        </w:tabs>
        <w:ind w:left="2593" w:hanging="360"/>
      </w:pPr>
      <w:rPr>
        <w:rFonts w:ascii="Symbol" w:hAnsi="Symbol" w:hint="default"/>
      </w:rPr>
    </w:lvl>
    <w:lvl w:ilvl="4" w:tplc="9CECBAC2" w:tentative="1">
      <w:start w:val="1"/>
      <w:numFmt w:val="bullet"/>
      <w:lvlText w:val="o"/>
      <w:lvlJc w:val="left"/>
      <w:pPr>
        <w:tabs>
          <w:tab w:val="num" w:pos="3313"/>
        </w:tabs>
        <w:ind w:left="3313" w:hanging="360"/>
      </w:pPr>
      <w:rPr>
        <w:rFonts w:ascii="Courier New" w:hAnsi="Courier New" w:hint="default"/>
      </w:rPr>
    </w:lvl>
    <w:lvl w:ilvl="5" w:tplc="3216C5B6" w:tentative="1">
      <w:start w:val="1"/>
      <w:numFmt w:val="bullet"/>
      <w:lvlText w:val=""/>
      <w:lvlJc w:val="left"/>
      <w:pPr>
        <w:tabs>
          <w:tab w:val="num" w:pos="4033"/>
        </w:tabs>
        <w:ind w:left="4033" w:hanging="360"/>
      </w:pPr>
      <w:rPr>
        <w:rFonts w:ascii="Wingdings" w:hAnsi="Wingdings" w:hint="default"/>
      </w:rPr>
    </w:lvl>
    <w:lvl w:ilvl="6" w:tplc="700620C8" w:tentative="1">
      <w:start w:val="1"/>
      <w:numFmt w:val="bullet"/>
      <w:lvlText w:val=""/>
      <w:lvlJc w:val="left"/>
      <w:pPr>
        <w:tabs>
          <w:tab w:val="num" w:pos="4753"/>
        </w:tabs>
        <w:ind w:left="4753" w:hanging="360"/>
      </w:pPr>
      <w:rPr>
        <w:rFonts w:ascii="Symbol" w:hAnsi="Symbol" w:hint="default"/>
      </w:rPr>
    </w:lvl>
    <w:lvl w:ilvl="7" w:tplc="15A83632" w:tentative="1">
      <w:start w:val="1"/>
      <w:numFmt w:val="bullet"/>
      <w:lvlText w:val="o"/>
      <w:lvlJc w:val="left"/>
      <w:pPr>
        <w:tabs>
          <w:tab w:val="num" w:pos="5473"/>
        </w:tabs>
        <w:ind w:left="5473" w:hanging="360"/>
      </w:pPr>
      <w:rPr>
        <w:rFonts w:ascii="Courier New" w:hAnsi="Courier New" w:hint="default"/>
      </w:rPr>
    </w:lvl>
    <w:lvl w:ilvl="8" w:tplc="8848B2A6" w:tentative="1">
      <w:start w:val="1"/>
      <w:numFmt w:val="bullet"/>
      <w:lvlText w:val=""/>
      <w:lvlJc w:val="left"/>
      <w:pPr>
        <w:tabs>
          <w:tab w:val="num" w:pos="6193"/>
        </w:tabs>
        <w:ind w:left="6193" w:hanging="360"/>
      </w:pPr>
      <w:rPr>
        <w:rFonts w:ascii="Wingdings" w:hAnsi="Wingdings" w:hint="default"/>
      </w:rPr>
    </w:lvl>
  </w:abstractNum>
  <w:abstractNum w:abstractNumId="26" w15:restartNumberingAfterBreak="1">
    <w:nsid w:val="5D5D010B"/>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27" w15:restartNumberingAfterBreak="1">
    <w:nsid w:val="62481F91"/>
    <w:multiLevelType w:val="hybridMultilevel"/>
    <w:tmpl w:val="2CBC9D4A"/>
    <w:lvl w:ilvl="0" w:tplc="040C0001">
      <w:start w:val="1"/>
      <w:numFmt w:val="bullet"/>
      <w:lvlText w:val="o"/>
      <w:lvlJc w:val="left"/>
      <w:pPr>
        <w:tabs>
          <w:tab w:val="num" w:pos="360"/>
        </w:tabs>
        <w:ind w:left="360" w:hanging="360"/>
      </w:pPr>
      <w:rPr>
        <w:rFonts w:ascii="Courier New" w:hAnsi="Courier New" w:hint="default"/>
      </w:rPr>
    </w:lvl>
    <w:lvl w:ilvl="1" w:tplc="040C0003">
      <w:start w:val="1"/>
      <w:numFmt w:val="bullet"/>
      <w:lvlText w:val="o"/>
      <w:lvlJc w:val="left"/>
      <w:pPr>
        <w:tabs>
          <w:tab w:val="num" w:pos="360"/>
        </w:tabs>
        <w:ind w:left="360" w:hanging="360"/>
      </w:pPr>
      <w:rPr>
        <w:rFonts w:ascii="Courier New" w:hAnsi="Courier New" w:hint="default"/>
      </w:rPr>
    </w:lvl>
    <w:lvl w:ilvl="2" w:tplc="040C0005">
      <w:start w:val="1"/>
      <w:numFmt w:val="bullet"/>
      <w:lvlText w:val="-"/>
      <w:lvlJc w:val="left"/>
      <w:pPr>
        <w:tabs>
          <w:tab w:val="num" w:pos="1080"/>
        </w:tabs>
        <w:ind w:left="1080" w:hanging="360"/>
      </w:pPr>
      <w:rPr>
        <w:rFonts w:hAnsi="Courier New" w:hint="default"/>
      </w:rPr>
    </w:lvl>
    <w:lvl w:ilvl="3" w:tplc="040C0001">
      <w:start w:val="1"/>
      <w:numFmt w:val="bullet"/>
      <w:lvlText w:val="-"/>
      <w:lvlJc w:val="left"/>
      <w:pPr>
        <w:tabs>
          <w:tab w:val="num" w:pos="1800"/>
        </w:tabs>
        <w:ind w:left="1800" w:hanging="360"/>
      </w:pPr>
      <w:rPr>
        <w:rFonts w:hAnsi="Courier New"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28" w15:restartNumberingAfterBreak="1">
    <w:nsid w:val="644C0445"/>
    <w:multiLevelType w:val="multilevel"/>
    <w:tmpl w:val="99D62D84"/>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1000" w:hanging="432"/>
      </w:pPr>
      <w:rPr>
        <w:rFonts w:ascii="Calibri" w:hAnsi="Calibri" w:hint="default"/>
        <w:b w:val="0"/>
        <w:bCs/>
        <w:i w:val="0"/>
        <w:iCs w:val="0"/>
        <w:color w:val="005EB8" w:themeColor="background2"/>
        <w:sz w:val="22"/>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29" w15:restartNumberingAfterBreak="1">
    <w:nsid w:val="684326C7"/>
    <w:multiLevelType w:val="hybridMultilevel"/>
    <w:tmpl w:val="D3561164"/>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1">
    <w:nsid w:val="7303033A"/>
    <w:multiLevelType w:val="hybridMultilevel"/>
    <w:tmpl w:val="03F2B22E"/>
    <w:lvl w:ilvl="0" w:tplc="7F08D708">
      <w:start w:val="1"/>
      <w:numFmt w:val="bullet"/>
      <w:lvlText w:val="o"/>
      <w:lvlJc w:val="left"/>
      <w:pPr>
        <w:ind w:left="720" w:hanging="360"/>
      </w:pPr>
      <w:rPr>
        <w:rFonts w:ascii="Courier New" w:hAnsi="Courier New" w:cs="Courier New" w:hint="default"/>
        <w:color w:val="005EB8" w:themeColor="background2"/>
        <w:sz w:val="18"/>
        <w:szCs w:val="18"/>
      </w:rPr>
    </w:lvl>
    <w:lvl w:ilvl="1" w:tplc="E5CA3472">
      <w:start w:val="1"/>
      <w:numFmt w:val="bullet"/>
      <w:lvlText w:val="o"/>
      <w:lvlJc w:val="left"/>
      <w:pPr>
        <w:ind w:left="1440" w:hanging="360"/>
      </w:pPr>
      <w:rPr>
        <w:rFonts w:ascii="Courier New" w:hAnsi="Courier New" w:cs="Courier New" w:hint="default"/>
      </w:rPr>
    </w:lvl>
    <w:lvl w:ilvl="2" w:tplc="5986D34C" w:tentative="1">
      <w:start w:val="1"/>
      <w:numFmt w:val="bullet"/>
      <w:lvlText w:val=""/>
      <w:lvlJc w:val="left"/>
      <w:pPr>
        <w:ind w:left="2160" w:hanging="360"/>
      </w:pPr>
      <w:rPr>
        <w:rFonts w:ascii="Wingdings" w:hAnsi="Wingdings" w:hint="default"/>
      </w:rPr>
    </w:lvl>
    <w:lvl w:ilvl="3" w:tplc="C90A043A" w:tentative="1">
      <w:start w:val="1"/>
      <w:numFmt w:val="bullet"/>
      <w:lvlText w:val=""/>
      <w:lvlJc w:val="left"/>
      <w:pPr>
        <w:ind w:left="2880" w:hanging="360"/>
      </w:pPr>
      <w:rPr>
        <w:rFonts w:ascii="Symbol" w:hAnsi="Symbol" w:hint="default"/>
      </w:rPr>
    </w:lvl>
    <w:lvl w:ilvl="4" w:tplc="622ED2E6" w:tentative="1">
      <w:start w:val="1"/>
      <w:numFmt w:val="bullet"/>
      <w:lvlText w:val="o"/>
      <w:lvlJc w:val="left"/>
      <w:pPr>
        <w:ind w:left="3600" w:hanging="360"/>
      </w:pPr>
      <w:rPr>
        <w:rFonts w:ascii="Courier New" w:hAnsi="Courier New" w:cs="Courier New" w:hint="default"/>
      </w:rPr>
    </w:lvl>
    <w:lvl w:ilvl="5" w:tplc="551C8FA6" w:tentative="1">
      <w:start w:val="1"/>
      <w:numFmt w:val="bullet"/>
      <w:lvlText w:val=""/>
      <w:lvlJc w:val="left"/>
      <w:pPr>
        <w:ind w:left="4320" w:hanging="360"/>
      </w:pPr>
      <w:rPr>
        <w:rFonts w:ascii="Wingdings" w:hAnsi="Wingdings" w:hint="default"/>
      </w:rPr>
    </w:lvl>
    <w:lvl w:ilvl="6" w:tplc="803627D0" w:tentative="1">
      <w:start w:val="1"/>
      <w:numFmt w:val="bullet"/>
      <w:lvlText w:val=""/>
      <w:lvlJc w:val="left"/>
      <w:pPr>
        <w:ind w:left="5040" w:hanging="360"/>
      </w:pPr>
      <w:rPr>
        <w:rFonts w:ascii="Symbol" w:hAnsi="Symbol" w:hint="default"/>
      </w:rPr>
    </w:lvl>
    <w:lvl w:ilvl="7" w:tplc="D966C40C" w:tentative="1">
      <w:start w:val="1"/>
      <w:numFmt w:val="bullet"/>
      <w:lvlText w:val="o"/>
      <w:lvlJc w:val="left"/>
      <w:pPr>
        <w:ind w:left="5760" w:hanging="360"/>
      </w:pPr>
      <w:rPr>
        <w:rFonts w:ascii="Courier New" w:hAnsi="Courier New" w:cs="Courier New" w:hint="default"/>
      </w:rPr>
    </w:lvl>
    <w:lvl w:ilvl="8" w:tplc="BC4E9DA0" w:tentative="1">
      <w:start w:val="1"/>
      <w:numFmt w:val="bullet"/>
      <w:lvlText w:val=""/>
      <w:lvlJc w:val="left"/>
      <w:pPr>
        <w:ind w:left="6480" w:hanging="360"/>
      </w:pPr>
      <w:rPr>
        <w:rFonts w:ascii="Wingdings" w:hAnsi="Wingdings" w:hint="default"/>
      </w:rPr>
    </w:lvl>
  </w:abstractNum>
  <w:abstractNum w:abstractNumId="31" w15:restartNumberingAfterBreak="1">
    <w:nsid w:val="7A944DDF"/>
    <w:multiLevelType w:val="hybridMultilevel"/>
    <w:tmpl w:val="769A7634"/>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8"/>
  </w:num>
  <w:num w:numId="3">
    <w:abstractNumId w:val="14"/>
  </w:num>
  <w:num w:numId="4">
    <w:abstractNumId w:val="17"/>
  </w:num>
  <w:num w:numId="5">
    <w:abstractNumId w:val="8"/>
  </w:num>
  <w:num w:numId="6">
    <w:abstractNumId w:val="0"/>
    <w:lvlOverride w:ilvl="0">
      <w:lvl w:ilvl="0">
        <w:start w:val="5"/>
        <w:numFmt w:val="bullet"/>
        <w:pStyle w:val="Enumration2"/>
        <w:lvlText w:val="-"/>
        <w:legacy w:legacy="1" w:legacySpace="0" w:legacyIndent="360"/>
        <w:lvlJc w:val="left"/>
        <w:pPr>
          <w:ind w:left="1211" w:hanging="360"/>
        </w:pPr>
      </w:lvl>
    </w:lvlOverride>
  </w:num>
  <w:num w:numId="7">
    <w:abstractNumId w:val="0"/>
    <w:lvlOverride w:ilvl="0">
      <w:lvl w:ilvl="0">
        <w:start w:val="1"/>
        <w:numFmt w:val="bullet"/>
        <w:pStyle w:val="Enumration2"/>
        <w:lvlText w:val=""/>
        <w:legacy w:legacy="1" w:legacySpace="120" w:legacyIndent="360"/>
        <w:lvlJc w:val="left"/>
        <w:pPr>
          <w:ind w:left="720" w:hanging="360"/>
        </w:pPr>
        <w:rPr>
          <w:rFonts w:ascii="Symbol" w:hAnsi="Symbol" w:hint="default"/>
        </w:rPr>
      </w:lvl>
    </w:lvlOverride>
  </w:num>
  <w:num w:numId="8">
    <w:abstractNumId w:val="20"/>
  </w:num>
  <w:num w:numId="9">
    <w:abstractNumId w:val="21"/>
  </w:num>
  <w:num w:numId="10">
    <w:abstractNumId w:val="0"/>
    <w:lvlOverride w:ilvl="0">
      <w:lvl w:ilvl="0">
        <w:start w:val="1"/>
        <w:numFmt w:val="bullet"/>
        <w:pStyle w:val="Enumration2"/>
        <w:lvlText w:val=""/>
        <w:legacy w:legacy="1" w:legacySpace="0" w:legacyIndent="360"/>
        <w:lvlJc w:val="left"/>
        <w:pPr>
          <w:ind w:left="360" w:hanging="360"/>
        </w:pPr>
        <w:rPr>
          <w:rFonts w:ascii="Symbol" w:hAnsi="Symbol" w:hint="default"/>
        </w:rPr>
      </w:lvl>
    </w:lvlOverride>
  </w:num>
  <w:num w:numId="11">
    <w:abstractNumId w:val="12"/>
  </w:num>
  <w:num w:numId="12">
    <w:abstractNumId w:val="26"/>
  </w:num>
  <w:num w:numId="13">
    <w:abstractNumId w:val="7"/>
  </w:num>
  <w:num w:numId="14">
    <w:abstractNumId w:val="24"/>
  </w:num>
  <w:num w:numId="15">
    <w:abstractNumId w:val="27"/>
  </w:num>
  <w:num w:numId="16">
    <w:abstractNumId w:val="2"/>
  </w:num>
  <w:num w:numId="17">
    <w:abstractNumId w:val="29"/>
  </w:num>
  <w:num w:numId="18">
    <w:abstractNumId w:val="18"/>
  </w:num>
  <w:num w:numId="19">
    <w:abstractNumId w:val="25"/>
  </w:num>
  <w:num w:numId="20">
    <w:abstractNumId w:val="10"/>
  </w:num>
  <w:num w:numId="21">
    <w:abstractNumId w:val="31"/>
  </w:num>
  <w:num w:numId="22">
    <w:abstractNumId w:val="9"/>
  </w:num>
  <w:num w:numId="23">
    <w:abstractNumId w:val="1"/>
  </w:num>
  <w:num w:numId="24">
    <w:abstractNumId w:val="13"/>
  </w:num>
  <w:num w:numId="25">
    <w:abstractNumId w:val="11"/>
  </w:num>
  <w:num w:numId="26">
    <w:abstractNumId w:val="4"/>
  </w:num>
  <w:num w:numId="27">
    <w:abstractNumId w:val="16"/>
  </w:num>
  <w:num w:numId="28">
    <w:abstractNumId w:val="23"/>
  </w:num>
  <w:num w:numId="29">
    <w:abstractNumId w:val="6"/>
  </w:num>
  <w:num w:numId="30">
    <w:abstractNumId w:val="19"/>
  </w:num>
  <w:num w:numId="31">
    <w:abstractNumId w:val="3"/>
  </w:num>
  <w:num w:numId="32">
    <w:abstractNumId w:val="30"/>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5"/>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22"/>
  </w:num>
  <w:num w:numId="4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oc1nopIBmfzG5wj87JvanJIb1PasjUx4IKAm0HtbsVw0Jjv/Igba2e1R2iPuCe5K5TiucG0VhZ/BHXYH7r0Cow==" w:salt="JVcYJ+QF30Saj60oKzk3JQ=="/>
  <w:defaultTabStop w:val="708"/>
  <w:hyphenationZone w:val="425"/>
  <w:drawingGridHorizontalSpacing w:val="120"/>
  <w:displayHorizontalDrawingGridEvery w:val="2"/>
  <w:displayVerticalDrawingGridEvery w:val="2"/>
  <w:characterSpacingControl w:val="doNotCompress"/>
  <w:hdrShapeDefaults>
    <o:shapedefaults v:ext="edit" spidmax="8193">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D8"/>
    <w:rsid w:val="00000923"/>
    <w:rsid w:val="00004948"/>
    <w:rsid w:val="0000539D"/>
    <w:rsid w:val="0000620C"/>
    <w:rsid w:val="0001079B"/>
    <w:rsid w:val="00010B88"/>
    <w:rsid w:val="00011D87"/>
    <w:rsid w:val="00012659"/>
    <w:rsid w:val="00012AC1"/>
    <w:rsid w:val="00013CB0"/>
    <w:rsid w:val="0001684C"/>
    <w:rsid w:val="00021185"/>
    <w:rsid w:val="00021A12"/>
    <w:rsid w:val="00022561"/>
    <w:rsid w:val="00022CED"/>
    <w:rsid w:val="00024742"/>
    <w:rsid w:val="000308D5"/>
    <w:rsid w:val="00032917"/>
    <w:rsid w:val="000367C4"/>
    <w:rsid w:val="0003718F"/>
    <w:rsid w:val="00037FE9"/>
    <w:rsid w:val="0004273E"/>
    <w:rsid w:val="0004412B"/>
    <w:rsid w:val="000461E9"/>
    <w:rsid w:val="000505BC"/>
    <w:rsid w:val="000521CF"/>
    <w:rsid w:val="00052DC4"/>
    <w:rsid w:val="0005323D"/>
    <w:rsid w:val="00053CA2"/>
    <w:rsid w:val="00053E80"/>
    <w:rsid w:val="00054290"/>
    <w:rsid w:val="00055529"/>
    <w:rsid w:val="00055B57"/>
    <w:rsid w:val="00056D81"/>
    <w:rsid w:val="0005723B"/>
    <w:rsid w:val="00060F96"/>
    <w:rsid w:val="00064494"/>
    <w:rsid w:val="00064DC7"/>
    <w:rsid w:val="0006730C"/>
    <w:rsid w:val="00073420"/>
    <w:rsid w:val="00077B03"/>
    <w:rsid w:val="000844D8"/>
    <w:rsid w:val="00084A74"/>
    <w:rsid w:val="00087A79"/>
    <w:rsid w:val="000910A7"/>
    <w:rsid w:val="00092613"/>
    <w:rsid w:val="00092DA7"/>
    <w:rsid w:val="00092E2A"/>
    <w:rsid w:val="00093982"/>
    <w:rsid w:val="000A1225"/>
    <w:rsid w:val="000A155A"/>
    <w:rsid w:val="000A175B"/>
    <w:rsid w:val="000A1F0A"/>
    <w:rsid w:val="000A2E7C"/>
    <w:rsid w:val="000A670E"/>
    <w:rsid w:val="000B5E1F"/>
    <w:rsid w:val="000B788F"/>
    <w:rsid w:val="000C0832"/>
    <w:rsid w:val="000C0CCD"/>
    <w:rsid w:val="000C1011"/>
    <w:rsid w:val="000C5A96"/>
    <w:rsid w:val="000C5CE7"/>
    <w:rsid w:val="000C7A9A"/>
    <w:rsid w:val="000D6116"/>
    <w:rsid w:val="000D7B39"/>
    <w:rsid w:val="000E0B4B"/>
    <w:rsid w:val="000E12DD"/>
    <w:rsid w:val="000E1ADC"/>
    <w:rsid w:val="000E1C8A"/>
    <w:rsid w:val="000E2363"/>
    <w:rsid w:val="000E2874"/>
    <w:rsid w:val="000E724A"/>
    <w:rsid w:val="0010038E"/>
    <w:rsid w:val="001037E8"/>
    <w:rsid w:val="00104824"/>
    <w:rsid w:val="00105C62"/>
    <w:rsid w:val="00111AFB"/>
    <w:rsid w:val="00112F15"/>
    <w:rsid w:val="0011358A"/>
    <w:rsid w:val="001143B4"/>
    <w:rsid w:val="00115265"/>
    <w:rsid w:val="00115A9A"/>
    <w:rsid w:val="00117863"/>
    <w:rsid w:val="001217C2"/>
    <w:rsid w:val="00121F9C"/>
    <w:rsid w:val="00122AC8"/>
    <w:rsid w:val="0012542E"/>
    <w:rsid w:val="00125D97"/>
    <w:rsid w:val="00127373"/>
    <w:rsid w:val="0013386C"/>
    <w:rsid w:val="001338BA"/>
    <w:rsid w:val="00134AE1"/>
    <w:rsid w:val="00136E8B"/>
    <w:rsid w:val="00137503"/>
    <w:rsid w:val="001438EA"/>
    <w:rsid w:val="00144601"/>
    <w:rsid w:val="00147C13"/>
    <w:rsid w:val="00150337"/>
    <w:rsid w:val="00153F63"/>
    <w:rsid w:val="00156AAD"/>
    <w:rsid w:val="0015762E"/>
    <w:rsid w:val="00161052"/>
    <w:rsid w:val="00161A5D"/>
    <w:rsid w:val="0016482D"/>
    <w:rsid w:val="00166B96"/>
    <w:rsid w:val="001723A0"/>
    <w:rsid w:val="00174956"/>
    <w:rsid w:val="001815BE"/>
    <w:rsid w:val="00183C3C"/>
    <w:rsid w:val="00183DE6"/>
    <w:rsid w:val="00185E86"/>
    <w:rsid w:val="0018662B"/>
    <w:rsid w:val="00190C72"/>
    <w:rsid w:val="00192021"/>
    <w:rsid w:val="00193ECE"/>
    <w:rsid w:val="00194349"/>
    <w:rsid w:val="001972B8"/>
    <w:rsid w:val="001A353F"/>
    <w:rsid w:val="001A37E6"/>
    <w:rsid w:val="001A635C"/>
    <w:rsid w:val="001B21E7"/>
    <w:rsid w:val="001B4CD0"/>
    <w:rsid w:val="001B70E9"/>
    <w:rsid w:val="001C2C54"/>
    <w:rsid w:val="001C41A2"/>
    <w:rsid w:val="001C41CC"/>
    <w:rsid w:val="001D056E"/>
    <w:rsid w:val="001D3BEB"/>
    <w:rsid w:val="001D45C0"/>
    <w:rsid w:val="001F16F0"/>
    <w:rsid w:val="001F194E"/>
    <w:rsid w:val="001F45D7"/>
    <w:rsid w:val="00201965"/>
    <w:rsid w:val="002040D8"/>
    <w:rsid w:val="0020466B"/>
    <w:rsid w:val="002051EE"/>
    <w:rsid w:val="00206F7F"/>
    <w:rsid w:val="002101E2"/>
    <w:rsid w:val="00210306"/>
    <w:rsid w:val="002109E8"/>
    <w:rsid w:val="00211575"/>
    <w:rsid w:val="002126A1"/>
    <w:rsid w:val="0021773C"/>
    <w:rsid w:val="00221D87"/>
    <w:rsid w:val="0022679B"/>
    <w:rsid w:val="00227310"/>
    <w:rsid w:val="0023062C"/>
    <w:rsid w:val="00230B23"/>
    <w:rsid w:val="00233868"/>
    <w:rsid w:val="00233ED6"/>
    <w:rsid w:val="00240882"/>
    <w:rsid w:val="002418F0"/>
    <w:rsid w:val="0024241E"/>
    <w:rsid w:val="00242963"/>
    <w:rsid w:val="00244AF2"/>
    <w:rsid w:val="00245CDD"/>
    <w:rsid w:val="00246FC1"/>
    <w:rsid w:val="00254BB5"/>
    <w:rsid w:val="00255C9E"/>
    <w:rsid w:val="002600AA"/>
    <w:rsid w:val="0026042E"/>
    <w:rsid w:val="0026120F"/>
    <w:rsid w:val="00262B92"/>
    <w:rsid w:val="002630C1"/>
    <w:rsid w:val="002632D7"/>
    <w:rsid w:val="002664D8"/>
    <w:rsid w:val="0026772B"/>
    <w:rsid w:val="00270534"/>
    <w:rsid w:val="00277CB9"/>
    <w:rsid w:val="00281F5C"/>
    <w:rsid w:val="00284EEF"/>
    <w:rsid w:val="002900B5"/>
    <w:rsid w:val="00290311"/>
    <w:rsid w:val="00290E4A"/>
    <w:rsid w:val="0029172A"/>
    <w:rsid w:val="00292C7F"/>
    <w:rsid w:val="00292FDB"/>
    <w:rsid w:val="00294597"/>
    <w:rsid w:val="0029495C"/>
    <w:rsid w:val="00295B33"/>
    <w:rsid w:val="002A023F"/>
    <w:rsid w:val="002A2A9C"/>
    <w:rsid w:val="002B267D"/>
    <w:rsid w:val="002B64D3"/>
    <w:rsid w:val="002C0BB1"/>
    <w:rsid w:val="002C63A0"/>
    <w:rsid w:val="002C737E"/>
    <w:rsid w:val="002D1E90"/>
    <w:rsid w:val="002D2798"/>
    <w:rsid w:val="002D36D3"/>
    <w:rsid w:val="002D51CE"/>
    <w:rsid w:val="002D594E"/>
    <w:rsid w:val="002E4ABF"/>
    <w:rsid w:val="002E4CDF"/>
    <w:rsid w:val="002E7CF3"/>
    <w:rsid w:val="002F17E5"/>
    <w:rsid w:val="002F3301"/>
    <w:rsid w:val="002F4413"/>
    <w:rsid w:val="002F5F37"/>
    <w:rsid w:val="002F63D4"/>
    <w:rsid w:val="002F6A29"/>
    <w:rsid w:val="002F790A"/>
    <w:rsid w:val="0030004C"/>
    <w:rsid w:val="00301256"/>
    <w:rsid w:val="00306119"/>
    <w:rsid w:val="0030622C"/>
    <w:rsid w:val="003101B2"/>
    <w:rsid w:val="0031074A"/>
    <w:rsid w:val="00313157"/>
    <w:rsid w:val="00314BF4"/>
    <w:rsid w:val="0031567E"/>
    <w:rsid w:val="00320F91"/>
    <w:rsid w:val="00322093"/>
    <w:rsid w:val="003246C4"/>
    <w:rsid w:val="00331A53"/>
    <w:rsid w:val="00332656"/>
    <w:rsid w:val="003330D1"/>
    <w:rsid w:val="00333928"/>
    <w:rsid w:val="00333A14"/>
    <w:rsid w:val="00336CEF"/>
    <w:rsid w:val="00340D12"/>
    <w:rsid w:val="0034766A"/>
    <w:rsid w:val="00355913"/>
    <w:rsid w:val="00356EA5"/>
    <w:rsid w:val="003611B1"/>
    <w:rsid w:val="00361FC4"/>
    <w:rsid w:val="00367093"/>
    <w:rsid w:val="00367860"/>
    <w:rsid w:val="00371CE2"/>
    <w:rsid w:val="003721CB"/>
    <w:rsid w:val="003726FF"/>
    <w:rsid w:val="003730B2"/>
    <w:rsid w:val="00373D1A"/>
    <w:rsid w:val="003766F6"/>
    <w:rsid w:val="00376A02"/>
    <w:rsid w:val="003773FB"/>
    <w:rsid w:val="00381A6F"/>
    <w:rsid w:val="00381CA6"/>
    <w:rsid w:val="00385F3A"/>
    <w:rsid w:val="00386327"/>
    <w:rsid w:val="003864D6"/>
    <w:rsid w:val="003917CA"/>
    <w:rsid w:val="003927B2"/>
    <w:rsid w:val="00394BFF"/>
    <w:rsid w:val="0039774C"/>
    <w:rsid w:val="00397B1E"/>
    <w:rsid w:val="00397CF6"/>
    <w:rsid w:val="003A5AF8"/>
    <w:rsid w:val="003A5B08"/>
    <w:rsid w:val="003B0B1B"/>
    <w:rsid w:val="003B1AEC"/>
    <w:rsid w:val="003B4FE0"/>
    <w:rsid w:val="003B7B41"/>
    <w:rsid w:val="003C2D0C"/>
    <w:rsid w:val="003C46B3"/>
    <w:rsid w:val="003D3404"/>
    <w:rsid w:val="003D59AB"/>
    <w:rsid w:val="003D73A1"/>
    <w:rsid w:val="003E386B"/>
    <w:rsid w:val="003E3B0F"/>
    <w:rsid w:val="003E6127"/>
    <w:rsid w:val="003E6B10"/>
    <w:rsid w:val="003E7AD6"/>
    <w:rsid w:val="003F17FA"/>
    <w:rsid w:val="003F1840"/>
    <w:rsid w:val="003F64BF"/>
    <w:rsid w:val="003F6E5A"/>
    <w:rsid w:val="003F758D"/>
    <w:rsid w:val="003F7B78"/>
    <w:rsid w:val="004031B0"/>
    <w:rsid w:val="00403811"/>
    <w:rsid w:val="004038B6"/>
    <w:rsid w:val="00403BC6"/>
    <w:rsid w:val="00405F02"/>
    <w:rsid w:val="00407EA2"/>
    <w:rsid w:val="00411E39"/>
    <w:rsid w:val="00413690"/>
    <w:rsid w:val="004174DA"/>
    <w:rsid w:val="00417D79"/>
    <w:rsid w:val="00421049"/>
    <w:rsid w:val="00425569"/>
    <w:rsid w:val="00426E31"/>
    <w:rsid w:val="004332F8"/>
    <w:rsid w:val="004339E5"/>
    <w:rsid w:val="004375E6"/>
    <w:rsid w:val="00443682"/>
    <w:rsid w:val="004440EF"/>
    <w:rsid w:val="00446014"/>
    <w:rsid w:val="0045296B"/>
    <w:rsid w:val="00454E17"/>
    <w:rsid w:val="00455C87"/>
    <w:rsid w:val="00455D6B"/>
    <w:rsid w:val="00456FED"/>
    <w:rsid w:val="00461FC1"/>
    <w:rsid w:val="00465CB1"/>
    <w:rsid w:val="00465E5A"/>
    <w:rsid w:val="00466BAA"/>
    <w:rsid w:val="00466FEA"/>
    <w:rsid w:val="00475756"/>
    <w:rsid w:val="00475A5B"/>
    <w:rsid w:val="00475BB3"/>
    <w:rsid w:val="00475D90"/>
    <w:rsid w:val="004762D9"/>
    <w:rsid w:val="00483585"/>
    <w:rsid w:val="00485BBC"/>
    <w:rsid w:val="0048637F"/>
    <w:rsid w:val="00487394"/>
    <w:rsid w:val="00490201"/>
    <w:rsid w:val="0049323B"/>
    <w:rsid w:val="004949F3"/>
    <w:rsid w:val="004965AB"/>
    <w:rsid w:val="00497079"/>
    <w:rsid w:val="004A1D78"/>
    <w:rsid w:val="004A2E40"/>
    <w:rsid w:val="004A54F0"/>
    <w:rsid w:val="004A71F0"/>
    <w:rsid w:val="004B075B"/>
    <w:rsid w:val="004B0E30"/>
    <w:rsid w:val="004B0FBA"/>
    <w:rsid w:val="004B398D"/>
    <w:rsid w:val="004B707C"/>
    <w:rsid w:val="004B749C"/>
    <w:rsid w:val="004C0B0F"/>
    <w:rsid w:val="004C144E"/>
    <w:rsid w:val="004C21D9"/>
    <w:rsid w:val="004C549D"/>
    <w:rsid w:val="004C7394"/>
    <w:rsid w:val="004D1CE1"/>
    <w:rsid w:val="004D32BC"/>
    <w:rsid w:val="004D63F7"/>
    <w:rsid w:val="004D77BD"/>
    <w:rsid w:val="004E13D7"/>
    <w:rsid w:val="004E60B5"/>
    <w:rsid w:val="004F1F28"/>
    <w:rsid w:val="004F5B9C"/>
    <w:rsid w:val="005007E7"/>
    <w:rsid w:val="00502CD5"/>
    <w:rsid w:val="00510A15"/>
    <w:rsid w:val="00510F09"/>
    <w:rsid w:val="00510F83"/>
    <w:rsid w:val="00512669"/>
    <w:rsid w:val="00512F5F"/>
    <w:rsid w:val="0051367C"/>
    <w:rsid w:val="00516697"/>
    <w:rsid w:val="00516906"/>
    <w:rsid w:val="005201E2"/>
    <w:rsid w:val="005240AD"/>
    <w:rsid w:val="00524C70"/>
    <w:rsid w:val="00525835"/>
    <w:rsid w:val="0053142E"/>
    <w:rsid w:val="00531530"/>
    <w:rsid w:val="0053593B"/>
    <w:rsid w:val="0053629D"/>
    <w:rsid w:val="00551813"/>
    <w:rsid w:val="00552EC2"/>
    <w:rsid w:val="00552F95"/>
    <w:rsid w:val="0055349F"/>
    <w:rsid w:val="00554363"/>
    <w:rsid w:val="005548D1"/>
    <w:rsid w:val="00557525"/>
    <w:rsid w:val="00561D82"/>
    <w:rsid w:val="00565761"/>
    <w:rsid w:val="005657EB"/>
    <w:rsid w:val="00567650"/>
    <w:rsid w:val="0057131D"/>
    <w:rsid w:val="0057195E"/>
    <w:rsid w:val="0057258B"/>
    <w:rsid w:val="00573A5B"/>
    <w:rsid w:val="00575B23"/>
    <w:rsid w:val="005775FF"/>
    <w:rsid w:val="00580AB8"/>
    <w:rsid w:val="0058143B"/>
    <w:rsid w:val="005937AF"/>
    <w:rsid w:val="0059633E"/>
    <w:rsid w:val="00597BE9"/>
    <w:rsid w:val="005A0EA0"/>
    <w:rsid w:val="005A11C2"/>
    <w:rsid w:val="005A3E8C"/>
    <w:rsid w:val="005A4379"/>
    <w:rsid w:val="005A4F2A"/>
    <w:rsid w:val="005A5481"/>
    <w:rsid w:val="005A5E2D"/>
    <w:rsid w:val="005A6477"/>
    <w:rsid w:val="005B544A"/>
    <w:rsid w:val="005B5A7D"/>
    <w:rsid w:val="005B7270"/>
    <w:rsid w:val="005B750C"/>
    <w:rsid w:val="005C4B9B"/>
    <w:rsid w:val="005C5AE7"/>
    <w:rsid w:val="005C6054"/>
    <w:rsid w:val="005C6983"/>
    <w:rsid w:val="005C7BFC"/>
    <w:rsid w:val="005D2052"/>
    <w:rsid w:val="005D23B6"/>
    <w:rsid w:val="005D2433"/>
    <w:rsid w:val="005D37FF"/>
    <w:rsid w:val="005D3B15"/>
    <w:rsid w:val="005D44B6"/>
    <w:rsid w:val="005D5404"/>
    <w:rsid w:val="005D6E36"/>
    <w:rsid w:val="005E2AA7"/>
    <w:rsid w:val="005E46D4"/>
    <w:rsid w:val="005E52EE"/>
    <w:rsid w:val="005F03B2"/>
    <w:rsid w:val="005F0B4D"/>
    <w:rsid w:val="005F0FC8"/>
    <w:rsid w:val="005F485F"/>
    <w:rsid w:val="005F4979"/>
    <w:rsid w:val="005F584B"/>
    <w:rsid w:val="005F5889"/>
    <w:rsid w:val="00600E58"/>
    <w:rsid w:val="00603041"/>
    <w:rsid w:val="00603793"/>
    <w:rsid w:val="00606D2B"/>
    <w:rsid w:val="0061143A"/>
    <w:rsid w:val="006156BD"/>
    <w:rsid w:val="00615FF5"/>
    <w:rsid w:val="0061685C"/>
    <w:rsid w:val="00616D33"/>
    <w:rsid w:val="0062166B"/>
    <w:rsid w:val="00622DD7"/>
    <w:rsid w:val="00623756"/>
    <w:rsid w:val="006249FE"/>
    <w:rsid w:val="00625E10"/>
    <w:rsid w:val="00627F6D"/>
    <w:rsid w:val="00631ABE"/>
    <w:rsid w:val="00633A4D"/>
    <w:rsid w:val="0063483D"/>
    <w:rsid w:val="00634B3E"/>
    <w:rsid w:val="0063633E"/>
    <w:rsid w:val="00636534"/>
    <w:rsid w:val="0063763E"/>
    <w:rsid w:val="00637922"/>
    <w:rsid w:val="0064025A"/>
    <w:rsid w:val="006457B2"/>
    <w:rsid w:val="006514F1"/>
    <w:rsid w:val="00652A2B"/>
    <w:rsid w:val="00657B3A"/>
    <w:rsid w:val="00660AA2"/>
    <w:rsid w:val="00660C13"/>
    <w:rsid w:val="00660C53"/>
    <w:rsid w:val="0066213B"/>
    <w:rsid w:val="00663C3B"/>
    <w:rsid w:val="00663EF8"/>
    <w:rsid w:val="00664691"/>
    <w:rsid w:val="00665B6D"/>
    <w:rsid w:val="0067051E"/>
    <w:rsid w:val="00670ED9"/>
    <w:rsid w:val="0067313E"/>
    <w:rsid w:val="00673AF6"/>
    <w:rsid w:val="0067475D"/>
    <w:rsid w:val="00674E50"/>
    <w:rsid w:val="0067529B"/>
    <w:rsid w:val="00681CA2"/>
    <w:rsid w:val="006825B6"/>
    <w:rsid w:val="00685566"/>
    <w:rsid w:val="00686596"/>
    <w:rsid w:val="00686C58"/>
    <w:rsid w:val="00687035"/>
    <w:rsid w:val="006870D8"/>
    <w:rsid w:val="006912E4"/>
    <w:rsid w:val="006945CB"/>
    <w:rsid w:val="00695671"/>
    <w:rsid w:val="00695ACF"/>
    <w:rsid w:val="006A0669"/>
    <w:rsid w:val="006A1DD9"/>
    <w:rsid w:val="006A5087"/>
    <w:rsid w:val="006B10DA"/>
    <w:rsid w:val="006B2D8D"/>
    <w:rsid w:val="006B3956"/>
    <w:rsid w:val="006B63D0"/>
    <w:rsid w:val="006C0233"/>
    <w:rsid w:val="006C3236"/>
    <w:rsid w:val="006C63DF"/>
    <w:rsid w:val="006C7091"/>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1B43"/>
    <w:rsid w:val="006F1E53"/>
    <w:rsid w:val="006F20E6"/>
    <w:rsid w:val="006F2535"/>
    <w:rsid w:val="00700CF7"/>
    <w:rsid w:val="00701914"/>
    <w:rsid w:val="007023BB"/>
    <w:rsid w:val="00703831"/>
    <w:rsid w:val="0070437A"/>
    <w:rsid w:val="00704A7D"/>
    <w:rsid w:val="00710C86"/>
    <w:rsid w:val="00712D9F"/>
    <w:rsid w:val="00713F15"/>
    <w:rsid w:val="00716401"/>
    <w:rsid w:val="007221C4"/>
    <w:rsid w:val="00722366"/>
    <w:rsid w:val="00724C03"/>
    <w:rsid w:val="00724CC2"/>
    <w:rsid w:val="00725028"/>
    <w:rsid w:val="007255F6"/>
    <w:rsid w:val="0072615D"/>
    <w:rsid w:val="00727F58"/>
    <w:rsid w:val="00730868"/>
    <w:rsid w:val="0073102F"/>
    <w:rsid w:val="007341B1"/>
    <w:rsid w:val="00734447"/>
    <w:rsid w:val="00734B73"/>
    <w:rsid w:val="007354D4"/>
    <w:rsid w:val="00737740"/>
    <w:rsid w:val="00740254"/>
    <w:rsid w:val="00742772"/>
    <w:rsid w:val="00743752"/>
    <w:rsid w:val="00747835"/>
    <w:rsid w:val="00752D19"/>
    <w:rsid w:val="007551B9"/>
    <w:rsid w:val="00757D95"/>
    <w:rsid w:val="00763026"/>
    <w:rsid w:val="00763430"/>
    <w:rsid w:val="0077150C"/>
    <w:rsid w:val="00772D65"/>
    <w:rsid w:val="007733DA"/>
    <w:rsid w:val="00773EE1"/>
    <w:rsid w:val="007742CF"/>
    <w:rsid w:val="007756F7"/>
    <w:rsid w:val="00786455"/>
    <w:rsid w:val="007922D5"/>
    <w:rsid w:val="00796378"/>
    <w:rsid w:val="00797BB8"/>
    <w:rsid w:val="007A06E8"/>
    <w:rsid w:val="007A4FDD"/>
    <w:rsid w:val="007A5B90"/>
    <w:rsid w:val="007A77C3"/>
    <w:rsid w:val="007B2C26"/>
    <w:rsid w:val="007B2D14"/>
    <w:rsid w:val="007B5B14"/>
    <w:rsid w:val="007B68D2"/>
    <w:rsid w:val="007B6ADD"/>
    <w:rsid w:val="007C07C8"/>
    <w:rsid w:val="007C20E5"/>
    <w:rsid w:val="007C2808"/>
    <w:rsid w:val="007C3270"/>
    <w:rsid w:val="007C357F"/>
    <w:rsid w:val="007D0693"/>
    <w:rsid w:val="007D0918"/>
    <w:rsid w:val="007D1DB3"/>
    <w:rsid w:val="007D3B5B"/>
    <w:rsid w:val="007D50E5"/>
    <w:rsid w:val="007D67AE"/>
    <w:rsid w:val="007E03D4"/>
    <w:rsid w:val="007E254B"/>
    <w:rsid w:val="007E374F"/>
    <w:rsid w:val="007E3DA6"/>
    <w:rsid w:val="007E4FCD"/>
    <w:rsid w:val="007E52C0"/>
    <w:rsid w:val="007F45F4"/>
    <w:rsid w:val="008009F0"/>
    <w:rsid w:val="00801767"/>
    <w:rsid w:val="00802AF0"/>
    <w:rsid w:val="00803E90"/>
    <w:rsid w:val="008047DE"/>
    <w:rsid w:val="00804A42"/>
    <w:rsid w:val="00810F91"/>
    <w:rsid w:val="0081103C"/>
    <w:rsid w:val="00813965"/>
    <w:rsid w:val="0081571C"/>
    <w:rsid w:val="00815800"/>
    <w:rsid w:val="00822A1C"/>
    <w:rsid w:val="00822E92"/>
    <w:rsid w:val="00823739"/>
    <w:rsid w:val="008237B0"/>
    <w:rsid w:val="00826DE8"/>
    <w:rsid w:val="00827DF7"/>
    <w:rsid w:val="0083045F"/>
    <w:rsid w:val="00831BA8"/>
    <w:rsid w:val="00836C68"/>
    <w:rsid w:val="00840920"/>
    <w:rsid w:val="00850733"/>
    <w:rsid w:val="008522FB"/>
    <w:rsid w:val="00853B42"/>
    <w:rsid w:val="00855C61"/>
    <w:rsid w:val="00857777"/>
    <w:rsid w:val="00862D24"/>
    <w:rsid w:val="008635C1"/>
    <w:rsid w:val="00866059"/>
    <w:rsid w:val="008668EA"/>
    <w:rsid w:val="00870040"/>
    <w:rsid w:val="0087249B"/>
    <w:rsid w:val="008728BD"/>
    <w:rsid w:val="00874331"/>
    <w:rsid w:val="008748E5"/>
    <w:rsid w:val="008768F6"/>
    <w:rsid w:val="00877DE8"/>
    <w:rsid w:val="008822DC"/>
    <w:rsid w:val="00883186"/>
    <w:rsid w:val="008851E5"/>
    <w:rsid w:val="008856CE"/>
    <w:rsid w:val="00886BDF"/>
    <w:rsid w:val="00886D22"/>
    <w:rsid w:val="00887E9A"/>
    <w:rsid w:val="00890F1A"/>
    <w:rsid w:val="00891A7D"/>
    <w:rsid w:val="008934FA"/>
    <w:rsid w:val="008937B2"/>
    <w:rsid w:val="00893B99"/>
    <w:rsid w:val="00894084"/>
    <w:rsid w:val="008950E3"/>
    <w:rsid w:val="00897207"/>
    <w:rsid w:val="0089771A"/>
    <w:rsid w:val="008A0797"/>
    <w:rsid w:val="008A14FA"/>
    <w:rsid w:val="008A1D7B"/>
    <w:rsid w:val="008B199E"/>
    <w:rsid w:val="008B4508"/>
    <w:rsid w:val="008B5A91"/>
    <w:rsid w:val="008B6935"/>
    <w:rsid w:val="008C0B23"/>
    <w:rsid w:val="008C16E9"/>
    <w:rsid w:val="008C258D"/>
    <w:rsid w:val="008C3EC0"/>
    <w:rsid w:val="008C5715"/>
    <w:rsid w:val="008D04D7"/>
    <w:rsid w:val="008D0E0B"/>
    <w:rsid w:val="008D1D6E"/>
    <w:rsid w:val="008D516A"/>
    <w:rsid w:val="008D7120"/>
    <w:rsid w:val="008D719B"/>
    <w:rsid w:val="008E263F"/>
    <w:rsid w:val="008E36F8"/>
    <w:rsid w:val="008E4F12"/>
    <w:rsid w:val="008E5C50"/>
    <w:rsid w:val="008F0DAE"/>
    <w:rsid w:val="008F59BE"/>
    <w:rsid w:val="00904188"/>
    <w:rsid w:val="00904C61"/>
    <w:rsid w:val="009053B1"/>
    <w:rsid w:val="00905A31"/>
    <w:rsid w:val="00906DF8"/>
    <w:rsid w:val="00907E23"/>
    <w:rsid w:val="00914566"/>
    <w:rsid w:val="00914586"/>
    <w:rsid w:val="00914660"/>
    <w:rsid w:val="0091551C"/>
    <w:rsid w:val="00917694"/>
    <w:rsid w:val="00917E0D"/>
    <w:rsid w:val="009261E0"/>
    <w:rsid w:val="00927A59"/>
    <w:rsid w:val="00934094"/>
    <w:rsid w:val="00936B98"/>
    <w:rsid w:val="009379EA"/>
    <w:rsid w:val="009405D9"/>
    <w:rsid w:val="0094084F"/>
    <w:rsid w:val="00941CA7"/>
    <w:rsid w:val="00942D99"/>
    <w:rsid w:val="00943AB5"/>
    <w:rsid w:val="009450B3"/>
    <w:rsid w:val="00945ABD"/>
    <w:rsid w:val="0095074A"/>
    <w:rsid w:val="009525C9"/>
    <w:rsid w:val="0095342A"/>
    <w:rsid w:val="0095409D"/>
    <w:rsid w:val="009542C9"/>
    <w:rsid w:val="009552E5"/>
    <w:rsid w:val="00956819"/>
    <w:rsid w:val="00960110"/>
    <w:rsid w:val="00961FAC"/>
    <w:rsid w:val="009625EF"/>
    <w:rsid w:val="00964380"/>
    <w:rsid w:val="0097039C"/>
    <w:rsid w:val="009711F2"/>
    <w:rsid w:val="00972129"/>
    <w:rsid w:val="00973CCB"/>
    <w:rsid w:val="00976BE6"/>
    <w:rsid w:val="00982510"/>
    <w:rsid w:val="00982621"/>
    <w:rsid w:val="00991BED"/>
    <w:rsid w:val="009933D6"/>
    <w:rsid w:val="009937AF"/>
    <w:rsid w:val="009A16A4"/>
    <w:rsid w:val="009A184D"/>
    <w:rsid w:val="009A6969"/>
    <w:rsid w:val="009B21D8"/>
    <w:rsid w:val="009B54ED"/>
    <w:rsid w:val="009B586A"/>
    <w:rsid w:val="009B610B"/>
    <w:rsid w:val="009C031B"/>
    <w:rsid w:val="009C11FE"/>
    <w:rsid w:val="009C262F"/>
    <w:rsid w:val="009C3422"/>
    <w:rsid w:val="009C3752"/>
    <w:rsid w:val="009C5878"/>
    <w:rsid w:val="009C6178"/>
    <w:rsid w:val="009C7515"/>
    <w:rsid w:val="009D04C9"/>
    <w:rsid w:val="009D224A"/>
    <w:rsid w:val="009D2A0F"/>
    <w:rsid w:val="009D2C08"/>
    <w:rsid w:val="009D387F"/>
    <w:rsid w:val="009D7083"/>
    <w:rsid w:val="009D740F"/>
    <w:rsid w:val="009D7A9B"/>
    <w:rsid w:val="009E034B"/>
    <w:rsid w:val="009E067E"/>
    <w:rsid w:val="009E2E4D"/>
    <w:rsid w:val="009E500D"/>
    <w:rsid w:val="009E53A3"/>
    <w:rsid w:val="009E68D0"/>
    <w:rsid w:val="009F3D52"/>
    <w:rsid w:val="009F44C2"/>
    <w:rsid w:val="009F498F"/>
    <w:rsid w:val="009F4CD9"/>
    <w:rsid w:val="009F52A9"/>
    <w:rsid w:val="009F6BBA"/>
    <w:rsid w:val="009F78D9"/>
    <w:rsid w:val="00A00495"/>
    <w:rsid w:val="00A00E62"/>
    <w:rsid w:val="00A01B59"/>
    <w:rsid w:val="00A03A1E"/>
    <w:rsid w:val="00A042FC"/>
    <w:rsid w:val="00A0748F"/>
    <w:rsid w:val="00A076AB"/>
    <w:rsid w:val="00A100ED"/>
    <w:rsid w:val="00A1032C"/>
    <w:rsid w:val="00A10C31"/>
    <w:rsid w:val="00A10CF3"/>
    <w:rsid w:val="00A157A9"/>
    <w:rsid w:val="00A17548"/>
    <w:rsid w:val="00A2100D"/>
    <w:rsid w:val="00A235A9"/>
    <w:rsid w:val="00A2448F"/>
    <w:rsid w:val="00A27113"/>
    <w:rsid w:val="00A27347"/>
    <w:rsid w:val="00A40D0A"/>
    <w:rsid w:val="00A40EED"/>
    <w:rsid w:val="00A411BE"/>
    <w:rsid w:val="00A42B47"/>
    <w:rsid w:val="00A42D1B"/>
    <w:rsid w:val="00A452CB"/>
    <w:rsid w:val="00A460B7"/>
    <w:rsid w:val="00A4720C"/>
    <w:rsid w:val="00A47EF9"/>
    <w:rsid w:val="00A51BF5"/>
    <w:rsid w:val="00A552F8"/>
    <w:rsid w:val="00A56846"/>
    <w:rsid w:val="00A60847"/>
    <w:rsid w:val="00A60C5C"/>
    <w:rsid w:val="00A6190F"/>
    <w:rsid w:val="00A65CFD"/>
    <w:rsid w:val="00A66B29"/>
    <w:rsid w:val="00A675A8"/>
    <w:rsid w:val="00A713D5"/>
    <w:rsid w:val="00A72429"/>
    <w:rsid w:val="00A77530"/>
    <w:rsid w:val="00A77BE2"/>
    <w:rsid w:val="00A80CCA"/>
    <w:rsid w:val="00A82974"/>
    <w:rsid w:val="00A83FE5"/>
    <w:rsid w:val="00A84A36"/>
    <w:rsid w:val="00A8576D"/>
    <w:rsid w:val="00A8684F"/>
    <w:rsid w:val="00A91B7C"/>
    <w:rsid w:val="00A93808"/>
    <w:rsid w:val="00A93C62"/>
    <w:rsid w:val="00A9500A"/>
    <w:rsid w:val="00A95046"/>
    <w:rsid w:val="00A95F3E"/>
    <w:rsid w:val="00A95FC0"/>
    <w:rsid w:val="00A96341"/>
    <w:rsid w:val="00A96434"/>
    <w:rsid w:val="00A977D3"/>
    <w:rsid w:val="00A9781A"/>
    <w:rsid w:val="00AA0A5D"/>
    <w:rsid w:val="00AA23BA"/>
    <w:rsid w:val="00AA3418"/>
    <w:rsid w:val="00AA5723"/>
    <w:rsid w:val="00AA65CD"/>
    <w:rsid w:val="00AB0C7E"/>
    <w:rsid w:val="00AB2CEB"/>
    <w:rsid w:val="00AB342B"/>
    <w:rsid w:val="00AB6FF3"/>
    <w:rsid w:val="00AC2125"/>
    <w:rsid w:val="00AC4340"/>
    <w:rsid w:val="00AD2891"/>
    <w:rsid w:val="00AD353E"/>
    <w:rsid w:val="00AD6A23"/>
    <w:rsid w:val="00AE08BA"/>
    <w:rsid w:val="00AE1A24"/>
    <w:rsid w:val="00AE1F22"/>
    <w:rsid w:val="00AE3E66"/>
    <w:rsid w:val="00AE57CB"/>
    <w:rsid w:val="00AE581B"/>
    <w:rsid w:val="00AF01B9"/>
    <w:rsid w:val="00AF4D9E"/>
    <w:rsid w:val="00AF676F"/>
    <w:rsid w:val="00AF6A43"/>
    <w:rsid w:val="00AF7CFF"/>
    <w:rsid w:val="00B00C61"/>
    <w:rsid w:val="00B015A8"/>
    <w:rsid w:val="00B11191"/>
    <w:rsid w:val="00B14828"/>
    <w:rsid w:val="00B169AF"/>
    <w:rsid w:val="00B16AE2"/>
    <w:rsid w:val="00B17F7A"/>
    <w:rsid w:val="00B24A01"/>
    <w:rsid w:val="00B2502E"/>
    <w:rsid w:val="00B25C0B"/>
    <w:rsid w:val="00B343DB"/>
    <w:rsid w:val="00B347C1"/>
    <w:rsid w:val="00B35D08"/>
    <w:rsid w:val="00B36ACC"/>
    <w:rsid w:val="00B401A0"/>
    <w:rsid w:val="00B40946"/>
    <w:rsid w:val="00B42E6E"/>
    <w:rsid w:val="00B43BBD"/>
    <w:rsid w:val="00B53461"/>
    <w:rsid w:val="00B5447B"/>
    <w:rsid w:val="00B5542A"/>
    <w:rsid w:val="00B55B37"/>
    <w:rsid w:val="00B55ED4"/>
    <w:rsid w:val="00B6045F"/>
    <w:rsid w:val="00B608B9"/>
    <w:rsid w:val="00B62029"/>
    <w:rsid w:val="00B663C6"/>
    <w:rsid w:val="00B664F9"/>
    <w:rsid w:val="00B66B60"/>
    <w:rsid w:val="00B6776B"/>
    <w:rsid w:val="00B725B4"/>
    <w:rsid w:val="00B72E65"/>
    <w:rsid w:val="00B75A4E"/>
    <w:rsid w:val="00B775DB"/>
    <w:rsid w:val="00B80623"/>
    <w:rsid w:val="00B812D8"/>
    <w:rsid w:val="00B85220"/>
    <w:rsid w:val="00B861A0"/>
    <w:rsid w:val="00B87B44"/>
    <w:rsid w:val="00B93E62"/>
    <w:rsid w:val="00BA0480"/>
    <w:rsid w:val="00BA51DA"/>
    <w:rsid w:val="00BA5DE1"/>
    <w:rsid w:val="00BA6A6D"/>
    <w:rsid w:val="00BB0C10"/>
    <w:rsid w:val="00BB1678"/>
    <w:rsid w:val="00BB2832"/>
    <w:rsid w:val="00BB4BE4"/>
    <w:rsid w:val="00BB63BA"/>
    <w:rsid w:val="00BB6E79"/>
    <w:rsid w:val="00BC0E7B"/>
    <w:rsid w:val="00BC12D8"/>
    <w:rsid w:val="00BC147C"/>
    <w:rsid w:val="00BC345D"/>
    <w:rsid w:val="00BC47BB"/>
    <w:rsid w:val="00BC6E54"/>
    <w:rsid w:val="00BC6E81"/>
    <w:rsid w:val="00BC7CBF"/>
    <w:rsid w:val="00BD4992"/>
    <w:rsid w:val="00BD5ECC"/>
    <w:rsid w:val="00BE00FB"/>
    <w:rsid w:val="00BE1991"/>
    <w:rsid w:val="00BE5D72"/>
    <w:rsid w:val="00BE62D8"/>
    <w:rsid w:val="00C019D5"/>
    <w:rsid w:val="00C02A88"/>
    <w:rsid w:val="00C031B1"/>
    <w:rsid w:val="00C0597C"/>
    <w:rsid w:val="00C10609"/>
    <w:rsid w:val="00C10C98"/>
    <w:rsid w:val="00C12B73"/>
    <w:rsid w:val="00C133EC"/>
    <w:rsid w:val="00C14DA9"/>
    <w:rsid w:val="00C1588E"/>
    <w:rsid w:val="00C16CAD"/>
    <w:rsid w:val="00C17792"/>
    <w:rsid w:val="00C21BF6"/>
    <w:rsid w:val="00C235BA"/>
    <w:rsid w:val="00C30E18"/>
    <w:rsid w:val="00C32DF2"/>
    <w:rsid w:val="00C41980"/>
    <w:rsid w:val="00C432AD"/>
    <w:rsid w:val="00C44588"/>
    <w:rsid w:val="00C465D2"/>
    <w:rsid w:val="00C518D4"/>
    <w:rsid w:val="00C53C7C"/>
    <w:rsid w:val="00C60DB8"/>
    <w:rsid w:val="00C61FA9"/>
    <w:rsid w:val="00C642BF"/>
    <w:rsid w:val="00C713CC"/>
    <w:rsid w:val="00C73DB8"/>
    <w:rsid w:val="00C767F8"/>
    <w:rsid w:val="00C835B1"/>
    <w:rsid w:val="00C8499D"/>
    <w:rsid w:val="00C864A2"/>
    <w:rsid w:val="00C91E16"/>
    <w:rsid w:val="00C923AC"/>
    <w:rsid w:val="00C939AB"/>
    <w:rsid w:val="00C95DFA"/>
    <w:rsid w:val="00C971D6"/>
    <w:rsid w:val="00CA1A4E"/>
    <w:rsid w:val="00CA1F6C"/>
    <w:rsid w:val="00CA21EE"/>
    <w:rsid w:val="00CA3C40"/>
    <w:rsid w:val="00CA6744"/>
    <w:rsid w:val="00CB1B6C"/>
    <w:rsid w:val="00CB377A"/>
    <w:rsid w:val="00CB4868"/>
    <w:rsid w:val="00CB5786"/>
    <w:rsid w:val="00CB7127"/>
    <w:rsid w:val="00CB72BD"/>
    <w:rsid w:val="00CB7903"/>
    <w:rsid w:val="00CC158E"/>
    <w:rsid w:val="00CC1C9D"/>
    <w:rsid w:val="00CC3484"/>
    <w:rsid w:val="00CC4C7E"/>
    <w:rsid w:val="00CC5642"/>
    <w:rsid w:val="00CC7291"/>
    <w:rsid w:val="00CC7803"/>
    <w:rsid w:val="00CD080E"/>
    <w:rsid w:val="00CD2A8F"/>
    <w:rsid w:val="00CD44A1"/>
    <w:rsid w:val="00CD498C"/>
    <w:rsid w:val="00CD4E25"/>
    <w:rsid w:val="00CD6D26"/>
    <w:rsid w:val="00CD6F3B"/>
    <w:rsid w:val="00CE620A"/>
    <w:rsid w:val="00CF0D7B"/>
    <w:rsid w:val="00CF2C88"/>
    <w:rsid w:val="00CF302C"/>
    <w:rsid w:val="00CF3363"/>
    <w:rsid w:val="00CF5541"/>
    <w:rsid w:val="00CF5DBC"/>
    <w:rsid w:val="00D00715"/>
    <w:rsid w:val="00D06FC4"/>
    <w:rsid w:val="00D1273F"/>
    <w:rsid w:val="00D12B43"/>
    <w:rsid w:val="00D14993"/>
    <w:rsid w:val="00D2034C"/>
    <w:rsid w:val="00D2172F"/>
    <w:rsid w:val="00D24F32"/>
    <w:rsid w:val="00D25E2C"/>
    <w:rsid w:val="00D265DE"/>
    <w:rsid w:val="00D2778C"/>
    <w:rsid w:val="00D325FD"/>
    <w:rsid w:val="00D32750"/>
    <w:rsid w:val="00D36434"/>
    <w:rsid w:val="00D368C7"/>
    <w:rsid w:val="00D4314C"/>
    <w:rsid w:val="00D443BF"/>
    <w:rsid w:val="00D45632"/>
    <w:rsid w:val="00D465C4"/>
    <w:rsid w:val="00D46CCF"/>
    <w:rsid w:val="00D47279"/>
    <w:rsid w:val="00D506E4"/>
    <w:rsid w:val="00D51FBB"/>
    <w:rsid w:val="00D52D2E"/>
    <w:rsid w:val="00D542E6"/>
    <w:rsid w:val="00D54B02"/>
    <w:rsid w:val="00D54B1B"/>
    <w:rsid w:val="00D567A8"/>
    <w:rsid w:val="00D573FD"/>
    <w:rsid w:val="00D60930"/>
    <w:rsid w:val="00D625BC"/>
    <w:rsid w:val="00D641A0"/>
    <w:rsid w:val="00D6453F"/>
    <w:rsid w:val="00D65155"/>
    <w:rsid w:val="00D801A4"/>
    <w:rsid w:val="00D8185B"/>
    <w:rsid w:val="00D81AB6"/>
    <w:rsid w:val="00D82FA7"/>
    <w:rsid w:val="00D838C9"/>
    <w:rsid w:val="00D83FE6"/>
    <w:rsid w:val="00D84832"/>
    <w:rsid w:val="00D851FB"/>
    <w:rsid w:val="00D874C9"/>
    <w:rsid w:val="00D93001"/>
    <w:rsid w:val="00D93AC2"/>
    <w:rsid w:val="00D94064"/>
    <w:rsid w:val="00D94FEC"/>
    <w:rsid w:val="00D97D19"/>
    <w:rsid w:val="00DA4A9B"/>
    <w:rsid w:val="00DA5ED8"/>
    <w:rsid w:val="00DA5F1A"/>
    <w:rsid w:val="00DA601A"/>
    <w:rsid w:val="00DA74BD"/>
    <w:rsid w:val="00DA7A6F"/>
    <w:rsid w:val="00DB1A3C"/>
    <w:rsid w:val="00DB1D5E"/>
    <w:rsid w:val="00DB538E"/>
    <w:rsid w:val="00DB663D"/>
    <w:rsid w:val="00DB7B84"/>
    <w:rsid w:val="00DC03A3"/>
    <w:rsid w:val="00DC0BDC"/>
    <w:rsid w:val="00DC30DF"/>
    <w:rsid w:val="00DC3F4D"/>
    <w:rsid w:val="00DC45BF"/>
    <w:rsid w:val="00DC5BDB"/>
    <w:rsid w:val="00DC6179"/>
    <w:rsid w:val="00DC643C"/>
    <w:rsid w:val="00DC6C22"/>
    <w:rsid w:val="00DC7610"/>
    <w:rsid w:val="00DD12D0"/>
    <w:rsid w:val="00DD1562"/>
    <w:rsid w:val="00DD3DEF"/>
    <w:rsid w:val="00DE0F16"/>
    <w:rsid w:val="00DE1CDE"/>
    <w:rsid w:val="00DE33E3"/>
    <w:rsid w:val="00DE3779"/>
    <w:rsid w:val="00DE3ABD"/>
    <w:rsid w:val="00DE412E"/>
    <w:rsid w:val="00DE5CE8"/>
    <w:rsid w:val="00DE7AF2"/>
    <w:rsid w:val="00DF32C1"/>
    <w:rsid w:val="00DF6D0B"/>
    <w:rsid w:val="00E016FC"/>
    <w:rsid w:val="00E019CD"/>
    <w:rsid w:val="00E0320F"/>
    <w:rsid w:val="00E03944"/>
    <w:rsid w:val="00E0413F"/>
    <w:rsid w:val="00E042B8"/>
    <w:rsid w:val="00E0442F"/>
    <w:rsid w:val="00E04F4B"/>
    <w:rsid w:val="00E05C37"/>
    <w:rsid w:val="00E06F27"/>
    <w:rsid w:val="00E07E8B"/>
    <w:rsid w:val="00E10D23"/>
    <w:rsid w:val="00E11A3C"/>
    <w:rsid w:val="00E17A59"/>
    <w:rsid w:val="00E2208E"/>
    <w:rsid w:val="00E22AA4"/>
    <w:rsid w:val="00E22EF3"/>
    <w:rsid w:val="00E230F2"/>
    <w:rsid w:val="00E2412C"/>
    <w:rsid w:val="00E24B69"/>
    <w:rsid w:val="00E2693A"/>
    <w:rsid w:val="00E27930"/>
    <w:rsid w:val="00E30BD9"/>
    <w:rsid w:val="00E30CAF"/>
    <w:rsid w:val="00E31970"/>
    <w:rsid w:val="00E33246"/>
    <w:rsid w:val="00E334C0"/>
    <w:rsid w:val="00E33798"/>
    <w:rsid w:val="00E347FD"/>
    <w:rsid w:val="00E34EF0"/>
    <w:rsid w:val="00E35256"/>
    <w:rsid w:val="00E37CBA"/>
    <w:rsid w:val="00E4053F"/>
    <w:rsid w:val="00E41BBE"/>
    <w:rsid w:val="00E41FDA"/>
    <w:rsid w:val="00E42E25"/>
    <w:rsid w:val="00E45855"/>
    <w:rsid w:val="00E45B07"/>
    <w:rsid w:val="00E45D6A"/>
    <w:rsid w:val="00E468F5"/>
    <w:rsid w:val="00E4745D"/>
    <w:rsid w:val="00E51A48"/>
    <w:rsid w:val="00E545C4"/>
    <w:rsid w:val="00E553B5"/>
    <w:rsid w:val="00E5703F"/>
    <w:rsid w:val="00E73B13"/>
    <w:rsid w:val="00E7498D"/>
    <w:rsid w:val="00E7677F"/>
    <w:rsid w:val="00E813EC"/>
    <w:rsid w:val="00E82A53"/>
    <w:rsid w:val="00E83A1F"/>
    <w:rsid w:val="00E964C1"/>
    <w:rsid w:val="00EA0627"/>
    <w:rsid w:val="00EA097A"/>
    <w:rsid w:val="00EA23FD"/>
    <w:rsid w:val="00EA494F"/>
    <w:rsid w:val="00EA5159"/>
    <w:rsid w:val="00EA6384"/>
    <w:rsid w:val="00EB21F5"/>
    <w:rsid w:val="00EB226A"/>
    <w:rsid w:val="00EC0EFA"/>
    <w:rsid w:val="00EC3576"/>
    <w:rsid w:val="00EC434B"/>
    <w:rsid w:val="00EC6A73"/>
    <w:rsid w:val="00ED32EC"/>
    <w:rsid w:val="00ED6E5F"/>
    <w:rsid w:val="00ED71FC"/>
    <w:rsid w:val="00ED7912"/>
    <w:rsid w:val="00EE0418"/>
    <w:rsid w:val="00EE1634"/>
    <w:rsid w:val="00EE1A4A"/>
    <w:rsid w:val="00EE33C0"/>
    <w:rsid w:val="00EE3566"/>
    <w:rsid w:val="00EE566F"/>
    <w:rsid w:val="00EE6355"/>
    <w:rsid w:val="00EF20DA"/>
    <w:rsid w:val="00EF2511"/>
    <w:rsid w:val="00EF482C"/>
    <w:rsid w:val="00EF7966"/>
    <w:rsid w:val="00F00122"/>
    <w:rsid w:val="00F00763"/>
    <w:rsid w:val="00F0089D"/>
    <w:rsid w:val="00F00F58"/>
    <w:rsid w:val="00F00FDD"/>
    <w:rsid w:val="00F015ED"/>
    <w:rsid w:val="00F02172"/>
    <w:rsid w:val="00F02D18"/>
    <w:rsid w:val="00F073F5"/>
    <w:rsid w:val="00F077F8"/>
    <w:rsid w:val="00F107C2"/>
    <w:rsid w:val="00F121F3"/>
    <w:rsid w:val="00F20451"/>
    <w:rsid w:val="00F25ABE"/>
    <w:rsid w:val="00F26C5C"/>
    <w:rsid w:val="00F32D43"/>
    <w:rsid w:val="00F34F82"/>
    <w:rsid w:val="00F5327A"/>
    <w:rsid w:val="00F53F2C"/>
    <w:rsid w:val="00F55217"/>
    <w:rsid w:val="00F56541"/>
    <w:rsid w:val="00F56684"/>
    <w:rsid w:val="00F6121E"/>
    <w:rsid w:val="00F62E42"/>
    <w:rsid w:val="00F64943"/>
    <w:rsid w:val="00F667D0"/>
    <w:rsid w:val="00F66DF2"/>
    <w:rsid w:val="00F6710B"/>
    <w:rsid w:val="00F73733"/>
    <w:rsid w:val="00F74246"/>
    <w:rsid w:val="00F818B5"/>
    <w:rsid w:val="00F83832"/>
    <w:rsid w:val="00F84965"/>
    <w:rsid w:val="00F84E19"/>
    <w:rsid w:val="00F84F73"/>
    <w:rsid w:val="00F8593A"/>
    <w:rsid w:val="00F87087"/>
    <w:rsid w:val="00F87999"/>
    <w:rsid w:val="00F9053F"/>
    <w:rsid w:val="00F915A4"/>
    <w:rsid w:val="00F96C09"/>
    <w:rsid w:val="00F97290"/>
    <w:rsid w:val="00F97BA3"/>
    <w:rsid w:val="00FA0EB3"/>
    <w:rsid w:val="00FA178C"/>
    <w:rsid w:val="00FA2896"/>
    <w:rsid w:val="00FA70F4"/>
    <w:rsid w:val="00FA793F"/>
    <w:rsid w:val="00FB000C"/>
    <w:rsid w:val="00FB0302"/>
    <w:rsid w:val="00FB0D2F"/>
    <w:rsid w:val="00FB244D"/>
    <w:rsid w:val="00FB4B31"/>
    <w:rsid w:val="00FB55DA"/>
    <w:rsid w:val="00FB5892"/>
    <w:rsid w:val="00FB764B"/>
    <w:rsid w:val="00FC1F4E"/>
    <w:rsid w:val="00FC3221"/>
    <w:rsid w:val="00FC383A"/>
    <w:rsid w:val="00FC4221"/>
    <w:rsid w:val="00FC44AF"/>
    <w:rsid w:val="00FC5D5D"/>
    <w:rsid w:val="00FD151F"/>
    <w:rsid w:val="00FD15E6"/>
    <w:rsid w:val="00FD1BED"/>
    <w:rsid w:val="00FD2A23"/>
    <w:rsid w:val="00FD2D31"/>
    <w:rsid w:val="00FD6009"/>
    <w:rsid w:val="00FE024D"/>
    <w:rsid w:val="00FE07A7"/>
    <w:rsid w:val="00FE09EB"/>
    <w:rsid w:val="00FE1357"/>
    <w:rsid w:val="00FE4E98"/>
    <w:rsid w:val="00FE5E48"/>
    <w:rsid w:val="00FE7451"/>
    <w:rsid w:val="00FF0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5eb8,#97b1da"/>
    </o:shapedefaults>
    <o:shapelayout v:ext="edit">
      <o:idmap v:ext="edit" data="1"/>
    </o:shapelayout>
  </w:shapeDefaults>
  <w:decimalSymbol w:val=","/>
  <w:listSeparator w:val=";"/>
  <w14:docId w14:val="543E8DB9"/>
  <w15:docId w15:val="{A277803E-F738-47B4-A883-25DCEC205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uiPriority="0" w:unhideWhenUsed="1"/>
    <w:lsdException w:name="envelope return"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752"/>
    <w:pPr>
      <w:spacing w:before="120" w:after="120"/>
      <w:jc w:val="both"/>
    </w:pPr>
    <w:rPr>
      <w:rFonts w:asciiTheme="minorHAnsi" w:hAnsiTheme="minorHAnsi"/>
    </w:rPr>
  </w:style>
  <w:style w:type="paragraph" w:styleId="Titre1">
    <w:name w:val="heading 1"/>
    <w:aliases w:val="Section,Chapitre RTE"/>
    <w:basedOn w:val="STitre1"/>
    <w:next w:val="Normal"/>
    <w:link w:val="Titre1Car"/>
    <w:qFormat/>
    <w:rsid w:val="00DC643C"/>
    <w:pPr>
      <w:spacing w:before="360" w:after="240"/>
    </w:pPr>
  </w:style>
  <w:style w:type="paragraph" w:styleId="Titre2">
    <w:name w:val="heading 2"/>
    <w:aliases w:val="Gldg. 1"/>
    <w:basedOn w:val="STitre2"/>
    <w:next w:val="Normal"/>
    <w:link w:val="Titre2Car"/>
    <w:qFormat/>
    <w:rsid w:val="009C3752"/>
    <w:pPr>
      <w:spacing w:before="240" w:after="240"/>
    </w:pPr>
  </w:style>
  <w:style w:type="paragraph" w:styleId="Titre3">
    <w:name w:val="heading 3"/>
    <w:aliases w:val="Gldg.2"/>
    <w:basedOn w:val="STitre3"/>
    <w:next w:val="Normal"/>
    <w:link w:val="Titre3Car"/>
    <w:qFormat/>
    <w:rsid w:val="000C0CCD"/>
    <w:pPr>
      <w:spacing w:before="240"/>
    </w:pPr>
  </w:style>
  <w:style w:type="paragraph" w:styleId="Titre4">
    <w:name w:val="heading 4"/>
    <w:aliases w:val="Gldg.3"/>
    <w:basedOn w:val="STitre4"/>
    <w:next w:val="Normal"/>
    <w:link w:val="Titre4Car"/>
    <w:qFormat/>
    <w:rsid w:val="000C0CCD"/>
    <w:pPr>
      <w:spacing w:before="200"/>
    </w:pPr>
  </w:style>
  <w:style w:type="paragraph" w:styleId="Titre5">
    <w:name w:val="heading 5"/>
    <w:basedOn w:val="STitre5"/>
    <w:next w:val="Normal"/>
    <w:link w:val="Titre5Car"/>
    <w:qFormat/>
    <w:rsid w:val="000C0CCD"/>
    <w:pPr>
      <w:spacing w:before="160"/>
    </w:pPr>
  </w:style>
  <w:style w:type="paragraph" w:styleId="Titre6">
    <w:name w:val="heading 6"/>
    <w:basedOn w:val="Normal"/>
    <w:next w:val="Normal"/>
    <w:link w:val="Titre6Car"/>
    <w:qFormat/>
    <w:rsid w:val="00F97290"/>
    <w:pPr>
      <w:tabs>
        <w:tab w:val="num" w:pos="1418"/>
      </w:tabs>
      <w:spacing w:before="240" w:after="60"/>
      <w:ind w:left="1418" w:hanging="1134"/>
      <w:outlineLvl w:val="5"/>
    </w:pPr>
    <w:rPr>
      <w:rFonts w:ascii="Calibri" w:hAnsi="Calibri" w:cs="Arial"/>
      <w:i/>
      <w:iCs/>
      <w:color w:val="auto"/>
      <w:sz w:val="18"/>
      <w:szCs w:val="22"/>
    </w:rPr>
  </w:style>
  <w:style w:type="paragraph" w:styleId="Titre7">
    <w:name w:val="heading 7"/>
    <w:basedOn w:val="Normal"/>
    <w:next w:val="Normal"/>
    <w:link w:val="Titre7Car"/>
    <w:qFormat/>
    <w:rsid w:val="00F97290"/>
    <w:pPr>
      <w:tabs>
        <w:tab w:val="num" w:pos="1296"/>
      </w:tabs>
      <w:spacing w:before="240" w:after="60"/>
      <w:ind w:left="1296" w:hanging="1296"/>
      <w:outlineLvl w:val="6"/>
    </w:pPr>
    <w:rPr>
      <w:rFonts w:ascii="Calibri" w:hAnsi="Calibri"/>
      <w:color w:val="auto"/>
      <w:szCs w:val="24"/>
    </w:rPr>
  </w:style>
  <w:style w:type="paragraph" w:styleId="Titre8">
    <w:name w:val="heading 8"/>
    <w:basedOn w:val="Normal"/>
    <w:next w:val="Normal"/>
    <w:link w:val="Titre8Car"/>
    <w:qFormat/>
    <w:rsid w:val="00F97290"/>
    <w:pPr>
      <w:tabs>
        <w:tab w:val="num" w:pos="1440"/>
      </w:tabs>
      <w:spacing w:before="240" w:after="60"/>
      <w:ind w:left="1440" w:hanging="1440"/>
      <w:outlineLvl w:val="7"/>
    </w:pPr>
    <w:rPr>
      <w:rFonts w:ascii="Calibri" w:hAnsi="Calibri"/>
      <w:i/>
      <w:iCs/>
      <w:color w:val="auto"/>
      <w:szCs w:val="24"/>
    </w:rPr>
  </w:style>
  <w:style w:type="paragraph" w:styleId="Titre9">
    <w:name w:val="heading 9"/>
    <w:basedOn w:val="Normal"/>
    <w:next w:val="Normal"/>
    <w:link w:val="Titre9Car"/>
    <w:qFormat/>
    <w:rsid w:val="00F97290"/>
    <w:pPr>
      <w:tabs>
        <w:tab w:val="num" w:pos="1584"/>
      </w:tabs>
      <w:spacing w:before="240" w:after="60"/>
      <w:ind w:left="1584" w:hanging="1584"/>
      <w:outlineLvl w:val="8"/>
    </w:pPr>
    <w:rPr>
      <w:rFonts w:ascii="Calibri" w:hAnsi="Calibri" w:cs="Arial"/>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rsid w:val="00DC643C"/>
    <w:rPr>
      <w:rFonts w:ascii="Calibri" w:eastAsiaTheme="minorEastAsia" w:hAnsi="Calibri" w:cstheme="minorBidi"/>
      <w:b/>
      <w:color w:val="005EB8" w:themeColor="background2"/>
      <w:sz w:val="24"/>
    </w:rPr>
  </w:style>
  <w:style w:type="character" w:customStyle="1" w:styleId="Titre2Car">
    <w:name w:val="Titre 2 Car"/>
    <w:aliases w:val="Gldg. 1 Car"/>
    <w:basedOn w:val="Policepardfaut"/>
    <w:link w:val="Titre2"/>
    <w:rsid w:val="009C3752"/>
    <w:rPr>
      <w:rFonts w:ascii="Calibri" w:eastAsiaTheme="minorEastAsia" w:hAnsi="Calibri" w:cstheme="minorBidi"/>
      <w:bCs/>
      <w:color w:val="005EB8" w:themeColor="background2"/>
      <w:sz w:val="22"/>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3726FF"/>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411BE"/>
    <w:pPr>
      <w:numPr>
        <w:numId w:val="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ind w:left="357" w:hanging="357"/>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2"/>
      </w:numPr>
      <w:ind w:left="794" w:hanging="397"/>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ind w:left="1225" w:hanging="505"/>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726FF"/>
    <w:pPr>
      <w:tabs>
        <w:tab w:val="left" w:pos="993"/>
        <w:tab w:val="right" w:leader="dot" w:pos="10308"/>
      </w:tabs>
      <w:spacing w:before="80" w:after="80"/>
      <w:ind w:left="851" w:hanging="397"/>
      <w:contextualSpacing/>
      <w:jc w:val="left"/>
    </w:pPr>
    <w:rPr>
      <w:color w:val="005EB8" w:themeColor="background2"/>
      <w:sz w:val="22"/>
    </w:rPr>
  </w:style>
  <w:style w:type="paragraph" w:styleId="TM3">
    <w:name w:val="toc 3"/>
    <w:basedOn w:val="Normal"/>
    <w:next w:val="Normal"/>
    <w:autoRedefine/>
    <w:uiPriority w:val="39"/>
    <w:rsid w:val="003726FF"/>
    <w:pPr>
      <w:tabs>
        <w:tab w:val="right" w:leader="dot" w:pos="10308"/>
      </w:tabs>
      <w:spacing w:before="40" w:after="40"/>
      <w:ind w:left="1276" w:hanging="567"/>
      <w:contextualSpacing/>
      <w:jc w:val="left"/>
    </w:pPr>
    <w:rPr>
      <w:b/>
    </w:rPr>
  </w:style>
  <w:style w:type="paragraph" w:styleId="TM4">
    <w:name w:val="toc 4"/>
    <w:basedOn w:val="Normal"/>
    <w:next w:val="Normal"/>
    <w:autoRedefine/>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aliases w:val="Gldg.2 Car"/>
    <w:basedOn w:val="Policepardfaut"/>
    <w:link w:val="Titre3"/>
    <w:rsid w:val="000C0CCD"/>
    <w:rPr>
      <w:rFonts w:ascii="Calibri" w:eastAsiaTheme="minorEastAsia" w:hAnsi="Calibri" w:cstheme="minorBidi"/>
      <w:b/>
    </w:rPr>
  </w:style>
  <w:style w:type="character" w:customStyle="1" w:styleId="Titre4Car">
    <w:name w:val="Titre 4 Car"/>
    <w:aliases w:val="Gldg.3 Car"/>
    <w:basedOn w:val="Policepardfaut"/>
    <w:link w:val="Titre4"/>
    <w:rsid w:val="000C0CCD"/>
    <w:rPr>
      <w:rFonts w:ascii="Calibri" w:eastAsiaTheme="minorEastAsia" w:hAnsi="Calibri" w:cstheme="minorBidi"/>
      <w:color w:val="505150"/>
    </w:rPr>
  </w:style>
  <w:style w:type="character" w:customStyle="1" w:styleId="Titre5Car">
    <w:name w:val="Titre 5 Car"/>
    <w:basedOn w:val="Policepardfaut"/>
    <w:link w:val="Titre5"/>
    <w:rsid w:val="000C0CCD"/>
    <w:rPr>
      <w:rFonts w:ascii="Calibri" w:eastAsiaTheme="minorEastAsia" w:hAnsi="Calibri" w:cstheme="minorBidi"/>
      <w:i/>
      <w:color w:val="505150"/>
    </w:rPr>
  </w:style>
  <w:style w:type="character" w:customStyle="1" w:styleId="Titre6Car">
    <w:name w:val="Titre 6 Car"/>
    <w:basedOn w:val="Policepardfaut"/>
    <w:link w:val="Titre6"/>
    <w:rsid w:val="00F97290"/>
    <w:rPr>
      <w:rFonts w:ascii="Calibri" w:hAnsi="Calibri" w:cs="Arial"/>
      <w:i/>
      <w:iCs/>
      <w:color w:val="auto"/>
      <w:sz w:val="18"/>
      <w:szCs w:val="22"/>
    </w:rPr>
  </w:style>
  <w:style w:type="character" w:customStyle="1" w:styleId="Titre7Car">
    <w:name w:val="Titre 7 Car"/>
    <w:basedOn w:val="Policepardfaut"/>
    <w:link w:val="Titre7"/>
    <w:rsid w:val="00F97290"/>
    <w:rPr>
      <w:rFonts w:ascii="Calibri" w:hAnsi="Calibri"/>
      <w:color w:val="auto"/>
      <w:szCs w:val="24"/>
    </w:rPr>
  </w:style>
  <w:style w:type="character" w:customStyle="1" w:styleId="Titre8Car">
    <w:name w:val="Titre 8 Car"/>
    <w:basedOn w:val="Policepardfaut"/>
    <w:link w:val="Titre8"/>
    <w:rsid w:val="00F97290"/>
    <w:rPr>
      <w:rFonts w:ascii="Calibri" w:hAnsi="Calibri"/>
      <w:i/>
      <w:iCs/>
      <w:color w:val="auto"/>
      <w:szCs w:val="24"/>
    </w:rPr>
  </w:style>
  <w:style w:type="character" w:customStyle="1" w:styleId="Titre9Car">
    <w:name w:val="Titre 9 Car"/>
    <w:basedOn w:val="Policepardfaut"/>
    <w:link w:val="Titre9"/>
    <w:rsid w:val="00F97290"/>
    <w:rPr>
      <w:rFonts w:ascii="Calibri" w:hAnsi="Calibri" w:cs="Arial"/>
      <w:color w:val="auto"/>
      <w:sz w:val="22"/>
      <w:szCs w:val="22"/>
    </w:rPr>
  </w:style>
  <w:style w:type="paragraph" w:styleId="Retraitcorpsdetexte">
    <w:name w:val="Body Text Indent"/>
    <w:basedOn w:val="Normal"/>
    <w:link w:val="RetraitcorpsdetexteCar"/>
    <w:semiHidden/>
    <w:rsid w:val="00F97290"/>
    <w:pPr>
      <w:numPr>
        <w:numId w:val="3"/>
      </w:numPr>
    </w:pPr>
    <w:rPr>
      <w:rFonts w:ascii="Calibri" w:hAnsi="Calibri"/>
      <w:color w:val="auto"/>
      <w:szCs w:val="24"/>
    </w:rPr>
  </w:style>
  <w:style w:type="character" w:customStyle="1" w:styleId="RetraitcorpsdetexteCar">
    <w:name w:val="Retrait corps de texte Car"/>
    <w:basedOn w:val="Policepardfaut"/>
    <w:link w:val="Retraitcorpsdetexte"/>
    <w:semiHidden/>
    <w:rsid w:val="00F97290"/>
    <w:rPr>
      <w:rFonts w:ascii="Calibri" w:hAnsi="Calibri"/>
      <w:color w:val="auto"/>
      <w:szCs w:val="24"/>
    </w:rPr>
  </w:style>
  <w:style w:type="paragraph" w:customStyle="1" w:styleId="Normal1">
    <w:name w:val="Normal 1"/>
    <w:basedOn w:val="Normal"/>
    <w:rsid w:val="00F97290"/>
    <w:pPr>
      <w:spacing w:before="40" w:after="40"/>
      <w:ind w:left="357"/>
    </w:pPr>
    <w:rPr>
      <w:rFonts w:ascii="Tahoma" w:hAnsi="Tahoma" w:cs="Arial"/>
      <w:color w:val="auto"/>
      <w:szCs w:val="24"/>
    </w:rPr>
  </w:style>
  <w:style w:type="paragraph" w:customStyle="1" w:styleId="Retrait1">
    <w:name w:val="Retrait 1"/>
    <w:basedOn w:val="Normal1"/>
    <w:rsid w:val="00F97290"/>
    <w:pPr>
      <w:numPr>
        <w:numId w:val="4"/>
      </w:numPr>
    </w:pPr>
  </w:style>
  <w:style w:type="paragraph" w:styleId="Corpsdetexte">
    <w:name w:val="Body Text"/>
    <w:basedOn w:val="Normal"/>
    <w:link w:val="CorpsdetexteCar"/>
    <w:semiHidden/>
    <w:rsid w:val="00F97290"/>
    <w:pPr>
      <w:autoSpaceDE w:val="0"/>
      <w:autoSpaceDN w:val="0"/>
      <w:adjustRightInd w:val="0"/>
      <w:ind w:left="357"/>
    </w:pPr>
    <w:rPr>
      <w:rFonts w:ascii="Calibri" w:hAnsi="Calibri" w:cs="Arial"/>
      <w:color w:val="auto"/>
      <w:sz w:val="18"/>
    </w:rPr>
  </w:style>
  <w:style w:type="character" w:customStyle="1" w:styleId="CorpsdetexteCar">
    <w:name w:val="Corps de texte Car"/>
    <w:basedOn w:val="Policepardfaut"/>
    <w:link w:val="Corpsdetexte"/>
    <w:semiHidden/>
    <w:rsid w:val="00F97290"/>
    <w:rPr>
      <w:rFonts w:ascii="Calibri" w:hAnsi="Calibri" w:cs="Arial"/>
      <w:color w:val="auto"/>
      <w:sz w:val="18"/>
    </w:rPr>
  </w:style>
  <w:style w:type="paragraph" w:customStyle="1" w:styleId="Enumration1">
    <w:name w:val="Enumération 1"/>
    <w:basedOn w:val="Normal"/>
    <w:rsid w:val="00F97290"/>
    <w:pPr>
      <w:numPr>
        <w:numId w:val="5"/>
      </w:numPr>
      <w:tabs>
        <w:tab w:val="left" w:pos="720"/>
      </w:tabs>
    </w:pPr>
    <w:rPr>
      <w:rFonts w:ascii="Calibri" w:hAnsi="Calibri"/>
      <w:color w:val="auto"/>
    </w:rPr>
  </w:style>
  <w:style w:type="paragraph" w:customStyle="1" w:styleId="Enumration2">
    <w:name w:val="Enumération 2"/>
    <w:basedOn w:val="Normal"/>
    <w:rsid w:val="00F97290"/>
    <w:pPr>
      <w:numPr>
        <w:numId w:val="6"/>
      </w:numPr>
      <w:tabs>
        <w:tab w:val="left" w:pos="4678"/>
      </w:tabs>
      <w:ind w:left="1276" w:hanging="425"/>
    </w:pPr>
    <w:rPr>
      <w:rFonts w:ascii="Calibri" w:hAnsi="Calibri"/>
      <w:color w:val="auto"/>
    </w:rPr>
  </w:style>
  <w:style w:type="paragraph" w:customStyle="1" w:styleId="TitreContrat">
    <w:name w:val="Titre Contrat"/>
    <w:basedOn w:val="Normal"/>
    <w:next w:val="Normal"/>
    <w:rsid w:val="00F97290"/>
    <w:pPr>
      <w:spacing w:before="1200" w:after="840" w:line="360" w:lineRule="auto"/>
      <w:ind w:left="1928" w:right="1928"/>
      <w:jc w:val="center"/>
      <w:outlineLvl w:val="0"/>
    </w:pPr>
    <w:rPr>
      <w:rFonts w:ascii="Calibri" w:hAnsi="Calibri"/>
      <w:b/>
      <w:caps/>
      <w:color w:val="auto"/>
      <w:sz w:val="32"/>
    </w:rPr>
  </w:style>
  <w:style w:type="paragraph" w:customStyle="1" w:styleId="Barr">
    <w:name w:val="Barré"/>
    <w:basedOn w:val="Normal"/>
    <w:rsid w:val="00F97290"/>
    <w:pPr>
      <w:ind w:left="357"/>
    </w:pPr>
    <w:rPr>
      <w:rFonts w:ascii="Calibri" w:hAnsi="Calibri"/>
      <w:dstrike/>
      <w:color w:val="800080"/>
    </w:rPr>
  </w:style>
  <w:style w:type="paragraph" w:styleId="Corpsdetexte2">
    <w:name w:val="Body Text 2"/>
    <w:basedOn w:val="Normal"/>
    <w:link w:val="Corpsdetexte2Car"/>
    <w:semiHidden/>
    <w:rsid w:val="00F97290"/>
    <w:pPr>
      <w:ind w:left="357"/>
    </w:pPr>
    <w:rPr>
      <w:rFonts w:ascii="Calibri" w:hAnsi="Calibri"/>
      <w:color w:val="FF0000"/>
    </w:rPr>
  </w:style>
  <w:style w:type="character" w:customStyle="1" w:styleId="Corpsdetexte2Car">
    <w:name w:val="Corps de texte 2 Car"/>
    <w:basedOn w:val="Policepardfaut"/>
    <w:link w:val="Corpsdetexte2"/>
    <w:semiHidden/>
    <w:rsid w:val="00F97290"/>
    <w:rPr>
      <w:rFonts w:ascii="Calibri" w:hAnsi="Calibri"/>
      <w:color w:val="FF0000"/>
    </w:rPr>
  </w:style>
  <w:style w:type="paragraph" w:customStyle="1" w:styleId="AjoutDR">
    <w:name w:val="Ajout DR"/>
    <w:basedOn w:val="Normal"/>
    <w:rsid w:val="00F97290"/>
    <w:pPr>
      <w:ind w:left="357"/>
    </w:pPr>
    <w:rPr>
      <w:rFonts w:ascii="Calibri" w:hAnsi="Calibri"/>
      <w:color w:val="0000FF"/>
    </w:rPr>
  </w:style>
  <w:style w:type="paragraph" w:styleId="Retraitcorpsdetexte2">
    <w:name w:val="Body Text Indent 2"/>
    <w:basedOn w:val="Normal"/>
    <w:link w:val="Retraitcorpsdetexte2Car"/>
    <w:semiHidden/>
    <w:rsid w:val="00F97290"/>
    <w:pPr>
      <w:keepNext/>
      <w:ind w:left="2127" w:hanging="567"/>
    </w:pPr>
    <w:rPr>
      <w:rFonts w:ascii="Calibri" w:hAnsi="Calibri"/>
      <w:color w:val="auto"/>
    </w:rPr>
  </w:style>
  <w:style w:type="character" w:customStyle="1" w:styleId="Retraitcorpsdetexte2Car">
    <w:name w:val="Retrait corps de texte 2 Car"/>
    <w:basedOn w:val="Policepardfaut"/>
    <w:link w:val="Retraitcorpsdetexte2"/>
    <w:semiHidden/>
    <w:rsid w:val="00F97290"/>
    <w:rPr>
      <w:rFonts w:ascii="Calibri" w:hAnsi="Calibri"/>
      <w:color w:val="auto"/>
    </w:rPr>
  </w:style>
  <w:style w:type="character" w:styleId="Appelnotedebasdep">
    <w:name w:val="footnote reference"/>
    <w:basedOn w:val="Policepardfaut"/>
    <w:semiHidden/>
    <w:rsid w:val="00F97290"/>
    <w:rPr>
      <w:vertAlign w:val="superscript"/>
    </w:rPr>
  </w:style>
  <w:style w:type="paragraph" w:customStyle="1" w:styleId="Dfinitions">
    <w:name w:val="Définitions"/>
    <w:basedOn w:val="Normal"/>
    <w:rsid w:val="00F97290"/>
    <w:pPr>
      <w:spacing w:before="60" w:after="60"/>
      <w:ind w:left="357"/>
    </w:pPr>
    <w:rPr>
      <w:rFonts w:ascii="Calibri" w:hAnsi="Calibri"/>
      <w:color w:val="auto"/>
    </w:rPr>
  </w:style>
  <w:style w:type="paragraph" w:styleId="Notedebasdepage">
    <w:name w:val="footnote text"/>
    <w:basedOn w:val="Normal"/>
    <w:link w:val="NotedebasdepageCar"/>
    <w:semiHidden/>
    <w:rsid w:val="00F97290"/>
    <w:pPr>
      <w:ind w:left="357"/>
    </w:pPr>
    <w:rPr>
      <w:rFonts w:ascii="Calibri" w:hAnsi="Calibri"/>
      <w:color w:val="auto"/>
      <w:sz w:val="16"/>
    </w:rPr>
  </w:style>
  <w:style w:type="character" w:customStyle="1" w:styleId="NotedebasdepageCar">
    <w:name w:val="Note de bas de page Car"/>
    <w:basedOn w:val="Policepardfaut"/>
    <w:link w:val="Notedebasdepage"/>
    <w:semiHidden/>
    <w:rsid w:val="00F97290"/>
    <w:rPr>
      <w:rFonts w:ascii="Calibri" w:hAnsi="Calibri"/>
      <w:color w:val="auto"/>
      <w:sz w:val="16"/>
    </w:rPr>
  </w:style>
  <w:style w:type="paragraph" w:customStyle="1" w:styleId="Identification">
    <w:name w:val="Identification"/>
    <w:rsid w:val="00F97290"/>
    <w:pPr>
      <w:spacing w:line="300" w:lineRule="atLeast"/>
    </w:pPr>
    <w:rPr>
      <w:rFonts w:ascii="Times New Roman" w:hAnsi="Times New Roman"/>
      <w:color w:val="auto"/>
      <w:sz w:val="24"/>
    </w:rPr>
  </w:style>
  <w:style w:type="paragraph" w:styleId="TM5">
    <w:name w:val="toc 5"/>
    <w:basedOn w:val="Normal"/>
    <w:next w:val="Normal"/>
    <w:autoRedefine/>
    <w:rsid w:val="00F97290"/>
    <w:pPr>
      <w:ind w:left="960"/>
    </w:pPr>
    <w:rPr>
      <w:rFonts w:ascii="Calibri" w:hAnsi="Calibri"/>
      <w:color w:val="auto"/>
      <w:szCs w:val="24"/>
    </w:rPr>
  </w:style>
  <w:style w:type="paragraph" w:styleId="TM6">
    <w:name w:val="toc 6"/>
    <w:basedOn w:val="Normal"/>
    <w:next w:val="Normal"/>
    <w:autoRedefine/>
    <w:rsid w:val="00F97290"/>
    <w:pPr>
      <w:ind w:left="1200"/>
    </w:pPr>
    <w:rPr>
      <w:rFonts w:ascii="Calibri" w:hAnsi="Calibri"/>
      <w:color w:val="auto"/>
      <w:szCs w:val="24"/>
    </w:rPr>
  </w:style>
  <w:style w:type="paragraph" w:styleId="TM7">
    <w:name w:val="toc 7"/>
    <w:basedOn w:val="Normal"/>
    <w:next w:val="Normal"/>
    <w:autoRedefine/>
    <w:rsid w:val="00F97290"/>
    <w:pPr>
      <w:ind w:left="1440"/>
    </w:pPr>
    <w:rPr>
      <w:rFonts w:ascii="Calibri" w:hAnsi="Calibri"/>
      <w:color w:val="auto"/>
      <w:szCs w:val="24"/>
    </w:rPr>
  </w:style>
  <w:style w:type="paragraph" w:styleId="TM8">
    <w:name w:val="toc 8"/>
    <w:basedOn w:val="Normal"/>
    <w:next w:val="Normal"/>
    <w:autoRedefine/>
    <w:rsid w:val="00F97290"/>
    <w:pPr>
      <w:ind w:left="1680"/>
    </w:pPr>
    <w:rPr>
      <w:rFonts w:ascii="Calibri" w:hAnsi="Calibri"/>
      <w:color w:val="auto"/>
      <w:szCs w:val="24"/>
    </w:rPr>
  </w:style>
  <w:style w:type="paragraph" w:styleId="TM9">
    <w:name w:val="toc 9"/>
    <w:basedOn w:val="Normal"/>
    <w:next w:val="Normal"/>
    <w:autoRedefine/>
    <w:rsid w:val="00F97290"/>
    <w:pPr>
      <w:ind w:left="1920"/>
    </w:pPr>
    <w:rPr>
      <w:rFonts w:ascii="Calibri" w:hAnsi="Calibri"/>
      <w:color w:val="auto"/>
      <w:szCs w:val="24"/>
    </w:rPr>
  </w:style>
  <w:style w:type="paragraph" w:styleId="Corpsdetexte3">
    <w:name w:val="Body Text 3"/>
    <w:basedOn w:val="Normal"/>
    <w:link w:val="Corpsdetexte3Car"/>
    <w:semiHidden/>
    <w:rsid w:val="00F97290"/>
    <w:pPr>
      <w:pBdr>
        <w:left w:val="single" w:sz="4" w:space="1" w:color="auto"/>
      </w:pBdr>
      <w:ind w:left="357"/>
    </w:pPr>
    <w:rPr>
      <w:rFonts w:ascii="Tahoma" w:hAnsi="Tahoma" w:cs="Tahoma"/>
      <w:color w:val="auto"/>
      <w:szCs w:val="24"/>
    </w:rPr>
  </w:style>
  <w:style w:type="character" w:customStyle="1" w:styleId="Corpsdetexte3Car">
    <w:name w:val="Corps de texte 3 Car"/>
    <w:basedOn w:val="Policepardfaut"/>
    <w:link w:val="Corpsdetexte3"/>
    <w:semiHidden/>
    <w:rsid w:val="00F97290"/>
    <w:rPr>
      <w:rFonts w:ascii="Tahoma" w:hAnsi="Tahoma" w:cs="Tahoma"/>
      <w:color w:val="auto"/>
      <w:szCs w:val="24"/>
    </w:rPr>
  </w:style>
  <w:style w:type="paragraph" w:styleId="Retraitcorpsdetexte3">
    <w:name w:val="Body Text Indent 3"/>
    <w:basedOn w:val="Normal"/>
    <w:link w:val="Retraitcorpsdetexte3Car"/>
    <w:semiHidden/>
    <w:rsid w:val="00F97290"/>
    <w:pPr>
      <w:ind w:left="360"/>
    </w:pPr>
    <w:rPr>
      <w:rFonts w:ascii="Tahoma" w:hAnsi="Tahoma" w:cs="Tahoma"/>
      <w:color w:val="auto"/>
      <w:szCs w:val="24"/>
    </w:rPr>
  </w:style>
  <w:style w:type="character" w:customStyle="1" w:styleId="Retraitcorpsdetexte3Car">
    <w:name w:val="Retrait corps de texte 3 Car"/>
    <w:basedOn w:val="Policepardfaut"/>
    <w:link w:val="Retraitcorpsdetexte3"/>
    <w:semiHidden/>
    <w:rsid w:val="00F97290"/>
    <w:rPr>
      <w:rFonts w:ascii="Tahoma" w:hAnsi="Tahoma" w:cs="Tahoma"/>
      <w:color w:val="auto"/>
      <w:szCs w:val="24"/>
    </w:rPr>
  </w:style>
  <w:style w:type="paragraph" w:customStyle="1" w:styleId="Corpsdetexte21">
    <w:name w:val="Corps de texte 21"/>
    <w:basedOn w:val="Normal"/>
    <w:rsid w:val="00F97290"/>
    <w:pPr>
      <w:ind w:left="426"/>
    </w:pPr>
    <w:rPr>
      <w:rFonts w:ascii="Tahoma" w:hAnsi="Tahoma"/>
      <w:color w:val="auto"/>
      <w:sz w:val="22"/>
    </w:rPr>
  </w:style>
  <w:style w:type="paragraph" w:customStyle="1" w:styleId="Retraitcorpsdetexte21">
    <w:name w:val="Retrait corps de texte 21"/>
    <w:basedOn w:val="Normal"/>
    <w:rsid w:val="00F97290"/>
    <w:pPr>
      <w:overflowPunct w:val="0"/>
      <w:autoSpaceDE w:val="0"/>
      <w:autoSpaceDN w:val="0"/>
      <w:adjustRightInd w:val="0"/>
      <w:ind w:left="540"/>
      <w:textAlignment w:val="baseline"/>
    </w:pPr>
    <w:rPr>
      <w:rFonts w:ascii="Tahoma" w:hAnsi="Tahoma"/>
      <w:color w:val="auto"/>
      <w:sz w:val="22"/>
    </w:rPr>
  </w:style>
  <w:style w:type="paragraph" w:customStyle="1" w:styleId="Retraitcorpsdetexte31">
    <w:name w:val="Retrait corps de texte 31"/>
    <w:basedOn w:val="Normal"/>
    <w:rsid w:val="00F97290"/>
    <w:pPr>
      <w:overflowPunct w:val="0"/>
      <w:autoSpaceDE w:val="0"/>
      <w:autoSpaceDN w:val="0"/>
      <w:adjustRightInd w:val="0"/>
      <w:ind w:left="426"/>
      <w:textAlignment w:val="baseline"/>
    </w:pPr>
    <w:rPr>
      <w:rFonts w:ascii="Tahoma" w:hAnsi="Tahoma"/>
      <w:color w:val="auto"/>
      <w:sz w:val="22"/>
    </w:rPr>
  </w:style>
  <w:style w:type="paragraph" w:styleId="Explorateurdedocuments">
    <w:name w:val="Document Map"/>
    <w:basedOn w:val="Normal"/>
    <w:link w:val="ExplorateurdedocumentsCar"/>
    <w:semiHidden/>
    <w:rsid w:val="00F97290"/>
    <w:pPr>
      <w:shd w:val="clear" w:color="auto" w:fill="000080"/>
      <w:ind w:left="357"/>
    </w:pPr>
    <w:rPr>
      <w:rFonts w:ascii="Tahoma" w:hAnsi="Tahoma"/>
      <w:color w:val="auto"/>
      <w:sz w:val="22"/>
    </w:rPr>
  </w:style>
  <w:style w:type="character" w:customStyle="1" w:styleId="ExplorateurdedocumentsCar">
    <w:name w:val="Explorateur de documents Car"/>
    <w:basedOn w:val="Policepardfaut"/>
    <w:link w:val="Explorateurdedocuments"/>
    <w:semiHidden/>
    <w:rsid w:val="00F97290"/>
    <w:rPr>
      <w:rFonts w:ascii="Tahoma" w:hAnsi="Tahoma"/>
      <w:color w:val="auto"/>
      <w:sz w:val="22"/>
      <w:shd w:val="clear" w:color="auto" w:fill="000080"/>
    </w:rPr>
  </w:style>
  <w:style w:type="paragraph" w:customStyle="1" w:styleId="Corpsdetexte31">
    <w:name w:val="Corps de texte 31"/>
    <w:basedOn w:val="Normal"/>
    <w:rsid w:val="00F97290"/>
    <w:pPr>
      <w:ind w:left="357"/>
    </w:pPr>
    <w:rPr>
      <w:rFonts w:ascii="Calibri" w:hAnsi="Calibri"/>
      <w:color w:val="000000"/>
    </w:rPr>
  </w:style>
  <w:style w:type="paragraph" w:customStyle="1" w:styleId="Normalcentr1">
    <w:name w:val="Normal centré1"/>
    <w:basedOn w:val="Normal"/>
    <w:rsid w:val="00F97290"/>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rPr>
  </w:style>
  <w:style w:type="paragraph" w:customStyle="1" w:styleId="ListeCommune">
    <w:name w:val="Liste Commune"/>
    <w:basedOn w:val="Normal"/>
    <w:rsid w:val="00F97290"/>
    <w:pPr>
      <w:tabs>
        <w:tab w:val="left" w:pos="4678"/>
      </w:tabs>
      <w:ind w:left="357"/>
    </w:pPr>
    <w:rPr>
      <w:rFonts w:ascii="Calibri" w:hAnsi="Calibri"/>
      <w:color w:val="auto"/>
      <w:sz w:val="18"/>
    </w:rPr>
  </w:style>
  <w:style w:type="paragraph" w:customStyle="1" w:styleId="Normalencadr">
    <w:name w:val="Normal encadré"/>
    <w:basedOn w:val="Normal"/>
    <w:rsid w:val="00F97290"/>
    <w:pPr>
      <w:pBdr>
        <w:top w:val="single" w:sz="4" w:space="1" w:color="auto"/>
        <w:left w:val="single" w:sz="4" w:space="4" w:color="auto"/>
        <w:bottom w:val="single" w:sz="4" w:space="1" w:color="auto"/>
        <w:right w:val="single" w:sz="4" w:space="4" w:color="auto"/>
      </w:pBdr>
      <w:ind w:left="357"/>
    </w:pPr>
    <w:rPr>
      <w:rFonts w:ascii="Calibri" w:hAnsi="Calibri"/>
      <w:color w:val="auto"/>
      <w:sz w:val="18"/>
    </w:rPr>
  </w:style>
  <w:style w:type="paragraph" w:customStyle="1" w:styleId="Titre4annexe">
    <w:name w:val="Titre 4 annexe"/>
    <w:basedOn w:val="Titre4"/>
    <w:rsid w:val="00F97290"/>
    <w:pPr>
      <w:numPr>
        <w:ilvl w:val="0"/>
        <w:numId w:val="0"/>
      </w:numPr>
      <w:spacing w:after="0"/>
    </w:pPr>
    <w:rPr>
      <w:rFonts w:ascii="Arial" w:hAnsi="Arial" w:cs="Times New Roman"/>
      <w:snapToGrid w:val="0"/>
    </w:rPr>
  </w:style>
  <w:style w:type="paragraph" w:customStyle="1" w:styleId="Ss-titre">
    <w:name w:val="Ss-titre"/>
    <w:basedOn w:val="Normal"/>
    <w:next w:val="Normal"/>
    <w:rsid w:val="00F97290"/>
    <w:pPr>
      <w:numPr>
        <w:numId w:val="8"/>
      </w:numPr>
      <w:spacing w:after="60"/>
      <w:ind w:left="357" w:hanging="357"/>
    </w:pPr>
    <w:rPr>
      <w:rFonts w:ascii="Calibri" w:hAnsi="Calibri" w:cs="Arial"/>
      <w:b/>
      <w:bCs/>
      <w:iCs/>
      <w:color w:val="auto"/>
    </w:rPr>
  </w:style>
  <w:style w:type="character" w:styleId="Marquedecommentaire">
    <w:name w:val="annotation reference"/>
    <w:basedOn w:val="Policepardfaut"/>
    <w:semiHidden/>
    <w:rsid w:val="00F97290"/>
    <w:rPr>
      <w:sz w:val="16"/>
      <w:szCs w:val="16"/>
    </w:rPr>
  </w:style>
  <w:style w:type="paragraph" w:styleId="Commentaire">
    <w:name w:val="annotation text"/>
    <w:basedOn w:val="Normal"/>
    <w:link w:val="CommentaireCar"/>
    <w:semiHidden/>
    <w:rsid w:val="00F97290"/>
    <w:pPr>
      <w:ind w:left="357"/>
    </w:pPr>
    <w:rPr>
      <w:rFonts w:ascii="Calibri" w:hAnsi="Calibri"/>
      <w:color w:val="auto"/>
    </w:rPr>
  </w:style>
  <w:style w:type="character" w:customStyle="1" w:styleId="CommentaireCar">
    <w:name w:val="Commentaire Car"/>
    <w:basedOn w:val="Policepardfaut"/>
    <w:link w:val="Commentaire"/>
    <w:semiHidden/>
    <w:rsid w:val="00F97290"/>
    <w:rPr>
      <w:rFonts w:ascii="Calibri" w:hAnsi="Calibri"/>
      <w:color w:val="auto"/>
    </w:rPr>
  </w:style>
  <w:style w:type="paragraph" w:styleId="Titre">
    <w:name w:val="Title"/>
    <w:basedOn w:val="Normal"/>
    <w:link w:val="TitreCar"/>
    <w:qFormat/>
    <w:rsid w:val="00F97290"/>
    <w:pPr>
      <w:ind w:left="284"/>
      <w:jc w:val="center"/>
    </w:pPr>
    <w:rPr>
      <w:rFonts w:ascii="Times New Roman" w:hAnsi="Times New Roman"/>
      <w:b/>
      <w:color w:val="auto"/>
      <w:sz w:val="26"/>
    </w:rPr>
  </w:style>
  <w:style w:type="character" w:customStyle="1" w:styleId="TitreCar">
    <w:name w:val="Titre Car"/>
    <w:basedOn w:val="Policepardfaut"/>
    <w:link w:val="Titre"/>
    <w:rsid w:val="00F97290"/>
    <w:rPr>
      <w:rFonts w:ascii="Times New Roman" w:hAnsi="Times New Roman"/>
      <w:b/>
      <w:color w:val="auto"/>
      <w:sz w:val="26"/>
    </w:rPr>
  </w:style>
  <w:style w:type="paragraph" w:customStyle="1" w:styleId="Paradansdfinitions">
    <w:name w:val="Para dans définitions"/>
    <w:basedOn w:val="Normal"/>
    <w:rsid w:val="00F97290"/>
    <w:pPr>
      <w:ind w:left="357"/>
    </w:pPr>
    <w:rPr>
      <w:rFonts w:ascii="Times New Roman" w:hAnsi="Times New Roman"/>
      <w:color w:val="auto"/>
      <w:sz w:val="18"/>
    </w:rPr>
  </w:style>
  <w:style w:type="paragraph" w:styleId="Objetducommentaire">
    <w:name w:val="annotation subject"/>
    <w:basedOn w:val="Commentaire"/>
    <w:next w:val="Commentaire"/>
    <w:link w:val="ObjetducommentaireCar"/>
    <w:uiPriority w:val="99"/>
    <w:semiHidden/>
    <w:unhideWhenUsed/>
    <w:rsid w:val="00F97290"/>
    <w:rPr>
      <w:b/>
      <w:bCs/>
    </w:rPr>
  </w:style>
  <w:style w:type="character" w:customStyle="1" w:styleId="ObjetducommentaireCar">
    <w:name w:val="Objet du commentaire Car"/>
    <w:basedOn w:val="CommentaireCar"/>
    <w:link w:val="Objetducommentaire"/>
    <w:rsid w:val="00F97290"/>
    <w:rPr>
      <w:rFonts w:ascii="Calibri" w:hAnsi="Calibri"/>
      <w:b/>
      <w:bCs/>
      <w:color w:val="auto"/>
    </w:rPr>
  </w:style>
  <w:style w:type="character" w:styleId="lev">
    <w:name w:val="Strong"/>
    <w:basedOn w:val="Policepardfaut"/>
    <w:qFormat/>
    <w:rsid w:val="00F97290"/>
    <w:rPr>
      <w:b/>
      <w:bCs/>
    </w:rPr>
  </w:style>
  <w:style w:type="character" w:customStyle="1" w:styleId="Normal10">
    <w:name w:val="Normal1"/>
    <w:basedOn w:val="Policepardfaut"/>
    <w:rsid w:val="00F97290"/>
  </w:style>
  <w:style w:type="paragraph" w:customStyle="1" w:styleId="Default">
    <w:name w:val="Default"/>
    <w:rsid w:val="00F97290"/>
    <w:pPr>
      <w:autoSpaceDE w:val="0"/>
      <w:autoSpaceDN w:val="0"/>
      <w:adjustRightInd w:val="0"/>
    </w:pPr>
    <w:rPr>
      <w:rFonts w:cs="Arial"/>
      <w:color w:val="000000"/>
      <w:sz w:val="24"/>
      <w:szCs w:val="24"/>
    </w:rPr>
  </w:style>
  <w:style w:type="paragraph" w:styleId="Normalcentr">
    <w:name w:val="Block Text"/>
    <w:basedOn w:val="Normal"/>
    <w:semiHidden/>
    <w:rsid w:val="00F97290"/>
    <w:pPr>
      <w:spacing w:before="60" w:after="60"/>
      <w:ind w:left="-70" w:right="-70"/>
      <w:jc w:val="center"/>
    </w:pPr>
    <w:rPr>
      <w:rFonts w:ascii="Calibri" w:hAnsi="Calibri" w:cs="Arial"/>
      <w:color w:val="auto"/>
      <w:sz w:val="18"/>
      <w:szCs w:val="24"/>
    </w:rPr>
  </w:style>
  <w:style w:type="paragraph" w:customStyle="1" w:styleId="05erdffr">
    <w:name w:val="05_erdf.fr"/>
    <w:basedOn w:val="Pieddepage"/>
    <w:link w:val="05erdffrCar"/>
    <w:qFormat/>
    <w:rsid w:val="00F97290"/>
    <w:pPr>
      <w:tabs>
        <w:tab w:val="center" w:pos="4536"/>
        <w:tab w:val="right" w:pos="9072"/>
      </w:tabs>
      <w:spacing w:after="160"/>
      <w:ind w:left="-108"/>
      <w:jc w:val="left"/>
    </w:pPr>
    <w:rPr>
      <w:rFonts w:ascii="Calibri" w:eastAsiaTheme="minorEastAsia" w:hAnsi="Calibri" w:cstheme="minorBidi"/>
      <w:b/>
      <w:color w:val="114A9C"/>
      <w:sz w:val="20"/>
      <w:szCs w:val="24"/>
    </w:rPr>
  </w:style>
  <w:style w:type="character" w:customStyle="1" w:styleId="05erdffrCar">
    <w:name w:val="05_erdf.fr Car"/>
    <w:basedOn w:val="PieddepageCar"/>
    <w:link w:val="05erdffr"/>
    <w:rsid w:val="00F97290"/>
    <w:rPr>
      <w:rFonts w:ascii="Calibri" w:eastAsiaTheme="minorEastAsia" w:hAnsi="Calibri" w:cstheme="minorBidi"/>
      <w:b/>
      <w:color w:val="114A9C"/>
      <w:sz w:val="14"/>
      <w:szCs w:val="24"/>
    </w:rPr>
  </w:style>
  <w:style w:type="paragraph" w:customStyle="1" w:styleId="06Pieddepage">
    <w:name w:val="06_Pied de page"/>
    <w:basedOn w:val="Normal"/>
    <w:qFormat/>
    <w:rsid w:val="00F97290"/>
    <w:pPr>
      <w:widowControl w:val="0"/>
      <w:autoSpaceDE w:val="0"/>
      <w:autoSpaceDN w:val="0"/>
      <w:adjustRightInd w:val="0"/>
      <w:ind w:left="232"/>
      <w:jc w:val="left"/>
      <w:textAlignment w:val="center"/>
    </w:pPr>
    <w:rPr>
      <w:rFonts w:ascii="Calibri" w:eastAsiaTheme="minorEastAsia" w:hAnsi="Calibri" w:cs="Neris-Light"/>
      <w:color w:val="505150"/>
      <w:sz w:val="14"/>
      <w:szCs w:val="14"/>
    </w:rPr>
  </w:style>
  <w:style w:type="paragraph" w:customStyle="1" w:styleId="Sommaire">
    <w:name w:val="Sommaire"/>
    <w:basedOn w:val="En-tte"/>
    <w:link w:val="SommaireCar"/>
    <w:qFormat/>
    <w:rsid w:val="00F97290"/>
    <w:pPr>
      <w:tabs>
        <w:tab w:val="center" w:pos="4536"/>
        <w:tab w:val="right" w:pos="9072"/>
      </w:tabs>
      <w:jc w:val="left"/>
    </w:pPr>
    <w:rPr>
      <w:rFonts w:ascii="Calibri" w:eastAsia="MS Mincho" w:hAnsi="Calibri"/>
      <w:caps/>
      <w:noProof/>
      <w:color w:val="004D8F"/>
      <w:sz w:val="40"/>
      <w:szCs w:val="40"/>
    </w:rPr>
  </w:style>
  <w:style w:type="character" w:customStyle="1" w:styleId="SommaireCar">
    <w:name w:val="Sommaire Car"/>
    <w:basedOn w:val="En-tteCar"/>
    <w:link w:val="Sommaire"/>
    <w:rsid w:val="00F97290"/>
    <w:rPr>
      <w:rFonts w:ascii="Calibri" w:eastAsia="MS Mincho" w:hAnsi="Calibri"/>
      <w:caps/>
      <w:noProof/>
      <w:color w:val="004D8F"/>
      <w:sz w:val="40"/>
      <w:szCs w:val="40"/>
    </w:rPr>
  </w:style>
  <w:style w:type="paragraph" w:customStyle="1" w:styleId="01NomDirection">
    <w:name w:val="01_Nom Direction"/>
    <w:basedOn w:val="En-tte"/>
    <w:link w:val="01NomDirectionCar"/>
    <w:qFormat/>
    <w:rsid w:val="00F97290"/>
    <w:pPr>
      <w:tabs>
        <w:tab w:val="center" w:pos="4536"/>
        <w:tab w:val="right" w:pos="9072"/>
      </w:tabs>
      <w:ind w:left="-567"/>
      <w:jc w:val="right"/>
    </w:pPr>
    <w:rPr>
      <w:rFonts w:ascii="Calibri" w:eastAsia="MS Mincho" w:hAnsi="Calibri"/>
      <w:i/>
      <w:color w:val="505150"/>
      <w:sz w:val="20"/>
      <w:szCs w:val="24"/>
    </w:rPr>
  </w:style>
  <w:style w:type="character" w:customStyle="1" w:styleId="01NomDirectionCar">
    <w:name w:val="01_Nom Direction Car"/>
    <w:basedOn w:val="En-tteCar"/>
    <w:link w:val="01NomDirection"/>
    <w:rsid w:val="00F97290"/>
    <w:rPr>
      <w:rFonts w:ascii="Calibri" w:eastAsia="MS Mincho" w:hAnsi="Calibri"/>
      <w:i/>
      <w:color w:val="505150"/>
      <w:sz w:val="14"/>
      <w:szCs w:val="24"/>
    </w:rPr>
  </w:style>
  <w:style w:type="paragraph" w:customStyle="1" w:styleId="06Annexes">
    <w:name w:val="06_Annexes"/>
    <w:basedOn w:val="Normal"/>
    <w:qFormat/>
    <w:rsid w:val="00F97290"/>
    <w:pPr>
      <w:numPr>
        <w:numId w:val="9"/>
      </w:numPr>
    </w:pPr>
    <w:rPr>
      <w:rFonts w:ascii="Calibri" w:eastAsia="MS Mincho" w:hAnsi="Calibri"/>
      <w:color w:val="505150"/>
    </w:rPr>
  </w:style>
  <w:style w:type="paragraph" w:customStyle="1" w:styleId="07erdffr">
    <w:name w:val="07_erdf.fr"/>
    <w:basedOn w:val="Pieddepage"/>
    <w:link w:val="07erdffrCar"/>
    <w:qFormat/>
    <w:rsid w:val="00F97290"/>
    <w:pPr>
      <w:tabs>
        <w:tab w:val="center" w:pos="4536"/>
        <w:tab w:val="right" w:pos="9072"/>
      </w:tabs>
      <w:ind w:left="-108"/>
      <w:jc w:val="left"/>
    </w:pPr>
    <w:rPr>
      <w:rFonts w:ascii="Calibri" w:eastAsia="MS Mincho" w:hAnsi="Calibri"/>
      <w:b/>
      <w:color w:val="005294"/>
      <w:sz w:val="20"/>
      <w:szCs w:val="24"/>
    </w:rPr>
  </w:style>
  <w:style w:type="character" w:customStyle="1" w:styleId="07erdffrCar">
    <w:name w:val="07_erdf.fr Car"/>
    <w:basedOn w:val="PieddepageCar"/>
    <w:link w:val="07erdffr"/>
    <w:rsid w:val="00F97290"/>
    <w:rPr>
      <w:rFonts w:ascii="Calibri" w:eastAsia="MS Mincho" w:hAnsi="Calibri"/>
      <w:b/>
      <w:color w:val="005294"/>
      <w:sz w:val="14"/>
      <w:szCs w:val="24"/>
    </w:rPr>
  </w:style>
  <w:style w:type="paragraph" w:customStyle="1" w:styleId="08Pieddepage">
    <w:name w:val="08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9Pieddepage">
    <w:name w:val="09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2BTitrepagessuivantes">
    <w:name w:val="02B_Titre pages suivantes"/>
    <w:basedOn w:val="Normal"/>
    <w:uiPriority w:val="1"/>
    <w:qFormat/>
    <w:rsid w:val="00F97290"/>
    <w:pPr>
      <w:spacing w:before="240" w:after="600"/>
      <w:ind w:left="3969"/>
      <w:jc w:val="right"/>
    </w:pPr>
    <w:rPr>
      <w:rFonts w:ascii="Calibri" w:eastAsia="MS Mincho" w:hAnsi="Calibri"/>
      <w:noProof/>
      <w:color w:val="505150"/>
      <w:sz w:val="24"/>
      <w:szCs w:val="28"/>
    </w:rPr>
  </w:style>
  <w:style w:type="paragraph" w:styleId="Rvision">
    <w:name w:val="Revision"/>
    <w:hidden/>
    <w:uiPriority w:val="99"/>
    <w:semiHidden/>
    <w:rsid w:val="00F97290"/>
    <w:rPr>
      <w:rFonts w:ascii="Calibri" w:hAnsi="Calibri"/>
      <w:color w:val="auto"/>
      <w:szCs w:val="24"/>
    </w:rPr>
  </w:style>
  <w:style w:type="character" w:styleId="Appeldenotedefin">
    <w:name w:val="endnote reference"/>
    <w:basedOn w:val="Policepardfaut"/>
    <w:uiPriority w:val="99"/>
    <w:semiHidden/>
    <w:rsid w:val="005D44B6"/>
    <w:rPr>
      <w:vertAlign w:val="superscript"/>
    </w:rPr>
  </w:style>
  <w:style w:type="paragraph" w:customStyle="1" w:styleId="Ni2">
    <w:name w:val="Ni2"/>
    <w:basedOn w:val="Normal"/>
    <w:rsid w:val="0077150C"/>
    <w:pPr>
      <w:spacing w:before="0" w:after="0"/>
    </w:pPr>
    <w:rPr>
      <w:rFonts w:ascii="Calibri" w:hAnsi="Calibri"/>
      <w:color w:val="auto"/>
    </w:rPr>
  </w:style>
  <w:style w:type="paragraph" w:styleId="Lgende">
    <w:name w:val="caption"/>
    <w:basedOn w:val="Normal"/>
    <w:next w:val="Normal"/>
    <w:qFormat/>
    <w:rsid w:val="0077150C"/>
    <w:pPr>
      <w:spacing w:before="0" w:after="0"/>
      <w:ind w:left="340"/>
      <w:jc w:val="center"/>
    </w:pPr>
    <w:rPr>
      <w:rFonts w:ascii="Univers (W1)" w:hAnsi="Univers (W1)"/>
      <w:b/>
      <w:color w:val="auto"/>
    </w:rPr>
  </w:style>
  <w:style w:type="paragraph" w:styleId="NormalWeb">
    <w:name w:val="Normal (Web)"/>
    <w:basedOn w:val="Normal"/>
    <w:uiPriority w:val="99"/>
    <w:semiHidden/>
    <w:rsid w:val="0077150C"/>
    <w:pPr>
      <w:spacing w:before="100" w:beforeAutospacing="1" w:after="100" w:afterAutospacing="1"/>
      <w:jc w:val="left"/>
    </w:pPr>
    <w:rPr>
      <w:rFonts w:ascii="Arial Unicode MS" w:eastAsia="Arial Unicode MS" w:hAnsi="Arial Unicode MS" w:cs="Arial Unicode MS"/>
      <w:color w:val="auto"/>
      <w:sz w:val="24"/>
      <w:szCs w:val="24"/>
    </w:rPr>
  </w:style>
  <w:style w:type="paragraph" w:styleId="En-ttedetabledesmatires">
    <w:name w:val="TOC Heading"/>
    <w:basedOn w:val="Titre1"/>
    <w:next w:val="Normal"/>
    <w:uiPriority w:val="39"/>
    <w:unhideWhenUsed/>
    <w:qFormat/>
    <w:rsid w:val="0058143B"/>
    <w:pPr>
      <w:keepLines/>
      <w:numPr>
        <w:numId w:val="0"/>
      </w:numPr>
      <w:spacing w:before="240" w:after="0" w:line="259" w:lineRule="auto"/>
      <w:outlineLvl w:val="9"/>
    </w:pPr>
    <w:rPr>
      <w:rFonts w:asciiTheme="majorHAnsi" w:eastAsiaTheme="majorEastAsia" w:hAnsiTheme="majorHAnsi" w:cstheme="majorBidi"/>
      <w:b w:val="0"/>
      <w:color w:val="0079A7"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59947">
      <w:bodyDiv w:val="1"/>
      <w:marLeft w:val="0"/>
      <w:marRight w:val="0"/>
      <w:marTop w:val="0"/>
      <w:marBottom w:val="0"/>
      <w:divBdr>
        <w:top w:val="none" w:sz="0" w:space="0" w:color="auto"/>
        <w:left w:val="none" w:sz="0" w:space="0" w:color="auto"/>
        <w:bottom w:val="none" w:sz="0" w:space="0" w:color="auto"/>
        <w:right w:val="none" w:sz="0" w:space="0" w:color="auto"/>
      </w:divBdr>
    </w:div>
    <w:div w:id="237986394">
      <w:bodyDiv w:val="1"/>
      <w:marLeft w:val="0"/>
      <w:marRight w:val="0"/>
      <w:marTop w:val="0"/>
      <w:marBottom w:val="0"/>
      <w:divBdr>
        <w:top w:val="none" w:sz="0" w:space="0" w:color="auto"/>
        <w:left w:val="none" w:sz="0" w:space="0" w:color="auto"/>
        <w:bottom w:val="none" w:sz="0" w:space="0" w:color="auto"/>
        <w:right w:val="none" w:sz="0" w:space="0" w:color="auto"/>
      </w:divBdr>
    </w:div>
    <w:div w:id="128392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rdf.fr/faire-le-releve-en-ligne"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clients.rte-france.co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D75C0-6A58-4984-850D-F3C6AFC78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19486</Words>
  <Characters>105424</Characters>
  <Application>Microsoft Office Word</Application>
  <DocSecurity>0</DocSecurity>
  <Lines>1506</Lines>
  <Paragraphs>968</Paragraphs>
  <ScaleCrop>false</ScaleCrop>
  <HeadingPairs>
    <vt:vector size="2" baseType="variant">
      <vt:variant>
        <vt:lpstr>Titre</vt:lpstr>
      </vt:variant>
      <vt:variant>
        <vt:i4>1</vt:i4>
      </vt:variant>
    </vt:vector>
  </HeadingPairs>
  <TitlesOfParts>
    <vt:vector size="1" baseType="lpstr">
      <vt:lpstr/>
    </vt:vector>
  </TitlesOfParts>
  <Company>ENEDIS</Company>
  <LinksUpToDate>false</LinksUpToDate>
  <CharactersWithSpaces>123942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Christophe CHAUVET</dc:creator>
  <cp:lastModifiedBy>Matthieu euzen</cp:lastModifiedBy>
  <cp:revision>7</cp:revision>
  <cp:lastPrinted>2021-04-29T06:55:00Z</cp:lastPrinted>
  <dcterms:created xsi:type="dcterms:W3CDTF">2021-05-18T08:40:00Z</dcterms:created>
  <dcterms:modified xsi:type="dcterms:W3CDTF">2021-07-20T13:07:00Z</dcterms:modified>
</cp:coreProperties>
</file>